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charts/chart4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3245F" w:rsidRDefault="00D3245F" w:rsidP="00D3245F">
      <w:pPr>
        <w:tabs>
          <w:tab w:val="left" w:pos="0"/>
        </w:tabs>
        <w:ind w:hanging="360"/>
        <w:jc w:val="center"/>
        <w:rPr>
          <w:b/>
          <w:sz w:val="22"/>
          <w:szCs w:val="22"/>
        </w:rPr>
      </w:pPr>
    </w:p>
    <w:p w:rsidR="00D3245F" w:rsidRDefault="00D3245F" w:rsidP="00D3245F">
      <w:pPr>
        <w:tabs>
          <w:tab w:val="left" w:pos="0"/>
        </w:tabs>
        <w:ind w:hanging="360"/>
        <w:jc w:val="center"/>
        <w:rPr>
          <w:b/>
          <w:sz w:val="22"/>
          <w:szCs w:val="22"/>
        </w:rPr>
      </w:pPr>
    </w:p>
    <w:p w:rsidR="00D3245F" w:rsidRDefault="00D3245F" w:rsidP="00D3245F">
      <w:pPr>
        <w:tabs>
          <w:tab w:val="left" w:pos="0"/>
        </w:tabs>
        <w:ind w:hanging="360"/>
        <w:jc w:val="center"/>
        <w:rPr>
          <w:b/>
          <w:sz w:val="22"/>
          <w:szCs w:val="22"/>
        </w:rPr>
      </w:pPr>
    </w:p>
    <w:p w:rsidR="00D3245F" w:rsidRDefault="00D3245F" w:rsidP="00D3245F">
      <w:pPr>
        <w:tabs>
          <w:tab w:val="left" w:pos="0"/>
        </w:tabs>
        <w:ind w:hanging="360"/>
        <w:jc w:val="center"/>
        <w:rPr>
          <w:b/>
          <w:sz w:val="22"/>
          <w:szCs w:val="22"/>
        </w:rPr>
      </w:pPr>
    </w:p>
    <w:p w:rsidR="00D3245F" w:rsidRDefault="00D3245F" w:rsidP="00D3245F">
      <w:pPr>
        <w:tabs>
          <w:tab w:val="left" w:pos="0"/>
        </w:tabs>
        <w:ind w:hanging="360"/>
        <w:jc w:val="center"/>
        <w:rPr>
          <w:b/>
          <w:sz w:val="22"/>
          <w:szCs w:val="22"/>
        </w:rPr>
      </w:pPr>
    </w:p>
    <w:p w:rsidR="00D3245F" w:rsidRDefault="00D3245F" w:rsidP="00D3245F">
      <w:pPr>
        <w:tabs>
          <w:tab w:val="left" w:pos="0"/>
        </w:tabs>
        <w:ind w:hanging="360"/>
        <w:jc w:val="center"/>
        <w:rPr>
          <w:b/>
          <w:sz w:val="22"/>
          <w:szCs w:val="22"/>
        </w:rPr>
      </w:pPr>
    </w:p>
    <w:p w:rsidR="00D3245F" w:rsidRDefault="00D3245F" w:rsidP="00D3245F">
      <w:pPr>
        <w:tabs>
          <w:tab w:val="left" w:pos="0"/>
        </w:tabs>
        <w:ind w:hanging="360"/>
        <w:jc w:val="center"/>
        <w:rPr>
          <w:b/>
          <w:sz w:val="22"/>
          <w:szCs w:val="22"/>
        </w:rPr>
      </w:pPr>
    </w:p>
    <w:p w:rsidR="00D3245F" w:rsidRDefault="00D3245F" w:rsidP="00D3245F">
      <w:pPr>
        <w:tabs>
          <w:tab w:val="left" w:pos="0"/>
        </w:tabs>
        <w:ind w:hanging="360"/>
        <w:jc w:val="center"/>
        <w:rPr>
          <w:b/>
          <w:sz w:val="22"/>
          <w:szCs w:val="22"/>
        </w:rPr>
      </w:pPr>
    </w:p>
    <w:p w:rsidR="00D3245F" w:rsidRDefault="00D3245F" w:rsidP="00D3245F">
      <w:pPr>
        <w:tabs>
          <w:tab w:val="left" w:pos="0"/>
        </w:tabs>
        <w:ind w:hanging="360"/>
        <w:jc w:val="center"/>
        <w:rPr>
          <w:b/>
          <w:sz w:val="22"/>
          <w:szCs w:val="22"/>
        </w:rPr>
      </w:pPr>
    </w:p>
    <w:p w:rsidR="00D3245F" w:rsidRDefault="00D3245F" w:rsidP="00D3245F">
      <w:pPr>
        <w:tabs>
          <w:tab w:val="left" w:pos="0"/>
        </w:tabs>
        <w:ind w:hanging="360"/>
        <w:jc w:val="center"/>
        <w:rPr>
          <w:b/>
          <w:sz w:val="22"/>
          <w:szCs w:val="22"/>
        </w:rPr>
      </w:pPr>
    </w:p>
    <w:p w:rsidR="00D3245F" w:rsidRDefault="00D3245F" w:rsidP="00D3245F">
      <w:pPr>
        <w:tabs>
          <w:tab w:val="left" w:pos="0"/>
        </w:tabs>
        <w:ind w:hanging="360"/>
        <w:jc w:val="center"/>
        <w:rPr>
          <w:b/>
          <w:sz w:val="22"/>
          <w:szCs w:val="22"/>
        </w:rPr>
      </w:pPr>
    </w:p>
    <w:p w:rsidR="00D3245F" w:rsidRDefault="00D3245F" w:rsidP="00D3245F">
      <w:pPr>
        <w:tabs>
          <w:tab w:val="left" w:pos="0"/>
        </w:tabs>
        <w:ind w:hanging="360"/>
        <w:jc w:val="center"/>
        <w:rPr>
          <w:b/>
          <w:sz w:val="22"/>
          <w:szCs w:val="22"/>
        </w:rPr>
      </w:pPr>
    </w:p>
    <w:p w:rsidR="00D3245F" w:rsidRDefault="00D3245F" w:rsidP="00D3245F">
      <w:pPr>
        <w:tabs>
          <w:tab w:val="left" w:pos="0"/>
        </w:tabs>
        <w:jc w:val="center"/>
      </w:pPr>
    </w:p>
    <w:p w:rsidR="00D3245F" w:rsidRDefault="00D3245F" w:rsidP="00D3245F">
      <w:pPr>
        <w:tabs>
          <w:tab w:val="left" w:pos="0"/>
        </w:tabs>
        <w:jc w:val="center"/>
      </w:pPr>
    </w:p>
    <w:p w:rsidR="00D3245F" w:rsidRPr="00D3245F" w:rsidRDefault="00D3245F" w:rsidP="00D3245F">
      <w:pPr>
        <w:tabs>
          <w:tab w:val="left" w:pos="0"/>
        </w:tabs>
        <w:jc w:val="center"/>
        <w:rPr>
          <w:b/>
          <w:caps/>
          <w:color w:val="993366"/>
          <w:sz w:val="40"/>
          <w:szCs w:val="40"/>
        </w:rPr>
      </w:pPr>
      <w:r w:rsidRPr="00D3245F">
        <w:rPr>
          <w:b/>
          <w:caps/>
          <w:color w:val="993366"/>
          <w:sz w:val="40"/>
          <w:szCs w:val="40"/>
        </w:rPr>
        <w:t>Звіт</w:t>
      </w:r>
    </w:p>
    <w:p w:rsidR="00D3245F" w:rsidRPr="00D3245F" w:rsidRDefault="00D3245F" w:rsidP="00D3245F">
      <w:pPr>
        <w:tabs>
          <w:tab w:val="left" w:pos="0"/>
        </w:tabs>
        <w:jc w:val="center"/>
        <w:rPr>
          <w:b/>
          <w:caps/>
          <w:color w:val="993366"/>
          <w:sz w:val="40"/>
          <w:szCs w:val="40"/>
        </w:rPr>
      </w:pPr>
    </w:p>
    <w:p w:rsidR="00D3245F" w:rsidRPr="008726AC" w:rsidRDefault="00D3245F" w:rsidP="008726AC">
      <w:pPr>
        <w:tabs>
          <w:tab w:val="left" w:pos="0"/>
        </w:tabs>
        <w:jc w:val="center"/>
        <w:rPr>
          <w:b/>
          <w:caps/>
          <w:color w:val="993366"/>
          <w:sz w:val="28"/>
          <w:szCs w:val="28"/>
        </w:rPr>
      </w:pPr>
      <w:r w:rsidRPr="008726AC">
        <w:rPr>
          <w:b/>
          <w:caps/>
          <w:color w:val="993366"/>
          <w:sz w:val="28"/>
          <w:szCs w:val="28"/>
        </w:rPr>
        <w:t>щодо роботи з письмовими зверненнями громадян</w:t>
      </w:r>
      <w:r w:rsidRPr="008726AC">
        <w:rPr>
          <w:b/>
          <w:caps/>
          <w:color w:val="993366"/>
          <w:sz w:val="28"/>
          <w:szCs w:val="28"/>
        </w:rPr>
        <w:t xml:space="preserve">, що </w:t>
      </w:r>
      <w:r w:rsidRPr="008726AC">
        <w:rPr>
          <w:b/>
          <w:caps/>
          <w:color w:val="993366"/>
          <w:sz w:val="28"/>
          <w:szCs w:val="28"/>
        </w:rPr>
        <w:t>надійшли в центральний офіс</w:t>
      </w:r>
      <w:r w:rsidR="008726AC">
        <w:rPr>
          <w:b/>
          <w:caps/>
          <w:color w:val="993366"/>
          <w:sz w:val="28"/>
          <w:szCs w:val="28"/>
        </w:rPr>
        <w:t xml:space="preserve">                                                                       </w:t>
      </w:r>
      <w:r w:rsidRPr="008726AC">
        <w:rPr>
          <w:b/>
          <w:caps/>
          <w:color w:val="993366"/>
          <w:sz w:val="28"/>
          <w:szCs w:val="28"/>
        </w:rPr>
        <w:t xml:space="preserve"> АТ «Прикарпаттяобленерго»</w:t>
      </w:r>
    </w:p>
    <w:p w:rsidR="00D3245F" w:rsidRPr="008726AC" w:rsidRDefault="00D3245F" w:rsidP="008726AC">
      <w:pPr>
        <w:tabs>
          <w:tab w:val="left" w:pos="0"/>
        </w:tabs>
        <w:jc w:val="center"/>
        <w:rPr>
          <w:b/>
          <w:caps/>
          <w:color w:val="993366"/>
          <w:sz w:val="28"/>
          <w:szCs w:val="28"/>
        </w:rPr>
      </w:pPr>
      <w:r w:rsidRPr="008726AC">
        <w:rPr>
          <w:b/>
          <w:caps/>
          <w:color w:val="993366"/>
          <w:sz w:val="28"/>
          <w:szCs w:val="28"/>
        </w:rPr>
        <w:t>у листопаді 2018</w:t>
      </w:r>
    </w:p>
    <w:p w:rsidR="00D3245F" w:rsidRDefault="00D3245F" w:rsidP="00D3245F">
      <w:pPr>
        <w:tabs>
          <w:tab w:val="left" w:pos="0"/>
        </w:tabs>
        <w:ind w:hanging="360"/>
        <w:jc w:val="center"/>
        <w:rPr>
          <w:b/>
          <w:sz w:val="22"/>
          <w:szCs w:val="22"/>
        </w:rPr>
      </w:pPr>
    </w:p>
    <w:p w:rsidR="00D3245F" w:rsidRDefault="00D3245F" w:rsidP="00D3245F">
      <w:pPr>
        <w:tabs>
          <w:tab w:val="left" w:pos="0"/>
        </w:tabs>
        <w:ind w:hanging="360"/>
        <w:jc w:val="center"/>
        <w:rPr>
          <w:b/>
          <w:sz w:val="22"/>
          <w:szCs w:val="22"/>
        </w:rPr>
      </w:pPr>
    </w:p>
    <w:p w:rsidR="00D3245F" w:rsidRDefault="00D3245F" w:rsidP="00D3245F">
      <w:pPr>
        <w:tabs>
          <w:tab w:val="left" w:pos="0"/>
        </w:tabs>
        <w:ind w:hanging="360"/>
        <w:jc w:val="center"/>
        <w:rPr>
          <w:b/>
          <w:sz w:val="22"/>
          <w:szCs w:val="22"/>
        </w:rPr>
      </w:pPr>
    </w:p>
    <w:p w:rsidR="00D3245F" w:rsidRDefault="00D3245F" w:rsidP="008726AC">
      <w:pPr>
        <w:tabs>
          <w:tab w:val="left" w:pos="0"/>
        </w:tabs>
        <w:ind w:hanging="360"/>
        <w:jc w:val="both"/>
        <w:rPr>
          <w:b/>
          <w:sz w:val="22"/>
          <w:szCs w:val="22"/>
        </w:rPr>
      </w:pPr>
    </w:p>
    <w:p w:rsidR="00D3245F" w:rsidRDefault="00D3245F" w:rsidP="00D3245F">
      <w:pPr>
        <w:tabs>
          <w:tab w:val="left" w:pos="0"/>
        </w:tabs>
        <w:ind w:hanging="360"/>
        <w:jc w:val="center"/>
        <w:rPr>
          <w:b/>
          <w:sz w:val="22"/>
          <w:szCs w:val="22"/>
        </w:rPr>
      </w:pPr>
    </w:p>
    <w:p w:rsidR="00D3245F" w:rsidRDefault="00D3245F" w:rsidP="00D3245F">
      <w:pPr>
        <w:tabs>
          <w:tab w:val="left" w:pos="0"/>
        </w:tabs>
        <w:ind w:hanging="360"/>
        <w:jc w:val="center"/>
        <w:rPr>
          <w:b/>
          <w:sz w:val="22"/>
          <w:szCs w:val="22"/>
        </w:rPr>
      </w:pPr>
    </w:p>
    <w:p w:rsidR="00D3245F" w:rsidRDefault="00D3245F" w:rsidP="00D3245F">
      <w:pPr>
        <w:tabs>
          <w:tab w:val="left" w:pos="0"/>
        </w:tabs>
        <w:ind w:hanging="360"/>
        <w:jc w:val="center"/>
        <w:rPr>
          <w:b/>
          <w:sz w:val="22"/>
          <w:szCs w:val="22"/>
        </w:rPr>
      </w:pPr>
    </w:p>
    <w:p w:rsidR="00D3245F" w:rsidRDefault="00D3245F" w:rsidP="00D3245F">
      <w:pPr>
        <w:tabs>
          <w:tab w:val="left" w:pos="0"/>
        </w:tabs>
        <w:ind w:hanging="360"/>
        <w:jc w:val="center"/>
        <w:rPr>
          <w:b/>
          <w:sz w:val="22"/>
          <w:szCs w:val="22"/>
        </w:rPr>
      </w:pPr>
    </w:p>
    <w:p w:rsidR="00D3245F" w:rsidRDefault="00D3245F" w:rsidP="00D3245F">
      <w:pPr>
        <w:tabs>
          <w:tab w:val="left" w:pos="0"/>
        </w:tabs>
        <w:ind w:hanging="360"/>
        <w:jc w:val="center"/>
        <w:rPr>
          <w:b/>
          <w:sz w:val="22"/>
          <w:szCs w:val="22"/>
        </w:rPr>
      </w:pPr>
    </w:p>
    <w:p w:rsidR="00D3245F" w:rsidRDefault="00D3245F" w:rsidP="00D3245F">
      <w:pPr>
        <w:tabs>
          <w:tab w:val="left" w:pos="0"/>
        </w:tabs>
        <w:ind w:hanging="360"/>
        <w:jc w:val="center"/>
        <w:rPr>
          <w:b/>
          <w:sz w:val="22"/>
          <w:szCs w:val="22"/>
        </w:rPr>
      </w:pPr>
    </w:p>
    <w:p w:rsidR="00D3245F" w:rsidRDefault="00D3245F" w:rsidP="00D3245F">
      <w:pPr>
        <w:tabs>
          <w:tab w:val="left" w:pos="0"/>
        </w:tabs>
        <w:ind w:hanging="360"/>
        <w:jc w:val="center"/>
        <w:rPr>
          <w:b/>
          <w:sz w:val="22"/>
          <w:szCs w:val="22"/>
        </w:rPr>
      </w:pPr>
    </w:p>
    <w:p w:rsidR="00D3245F" w:rsidRDefault="00D3245F" w:rsidP="00D3245F">
      <w:pPr>
        <w:tabs>
          <w:tab w:val="left" w:pos="0"/>
        </w:tabs>
        <w:ind w:hanging="360"/>
        <w:jc w:val="center"/>
        <w:rPr>
          <w:b/>
          <w:sz w:val="22"/>
          <w:szCs w:val="22"/>
        </w:rPr>
      </w:pPr>
    </w:p>
    <w:p w:rsidR="00D3245F" w:rsidRDefault="00D3245F" w:rsidP="00D3245F">
      <w:pPr>
        <w:tabs>
          <w:tab w:val="left" w:pos="0"/>
        </w:tabs>
        <w:ind w:hanging="360"/>
        <w:jc w:val="center"/>
        <w:rPr>
          <w:b/>
          <w:sz w:val="22"/>
          <w:szCs w:val="22"/>
        </w:rPr>
      </w:pPr>
    </w:p>
    <w:p w:rsidR="00D3245F" w:rsidRDefault="00D3245F" w:rsidP="00D3245F">
      <w:pPr>
        <w:tabs>
          <w:tab w:val="left" w:pos="0"/>
        </w:tabs>
        <w:ind w:hanging="360"/>
        <w:jc w:val="center"/>
        <w:rPr>
          <w:b/>
          <w:sz w:val="22"/>
          <w:szCs w:val="22"/>
        </w:rPr>
      </w:pPr>
    </w:p>
    <w:p w:rsidR="00D3245F" w:rsidRDefault="00D3245F" w:rsidP="00D3245F">
      <w:pPr>
        <w:tabs>
          <w:tab w:val="left" w:pos="0"/>
        </w:tabs>
        <w:ind w:hanging="360"/>
        <w:jc w:val="center"/>
        <w:rPr>
          <w:b/>
          <w:sz w:val="22"/>
          <w:szCs w:val="22"/>
        </w:rPr>
      </w:pPr>
    </w:p>
    <w:p w:rsidR="00D3245F" w:rsidRDefault="00D3245F" w:rsidP="00D3245F">
      <w:pPr>
        <w:tabs>
          <w:tab w:val="left" w:pos="0"/>
        </w:tabs>
        <w:ind w:hanging="360"/>
        <w:jc w:val="center"/>
        <w:rPr>
          <w:b/>
          <w:sz w:val="22"/>
          <w:szCs w:val="22"/>
        </w:rPr>
      </w:pPr>
    </w:p>
    <w:p w:rsidR="00D3245F" w:rsidRDefault="00D3245F" w:rsidP="00D3245F">
      <w:pPr>
        <w:tabs>
          <w:tab w:val="left" w:pos="0"/>
        </w:tabs>
        <w:ind w:hanging="360"/>
        <w:jc w:val="center"/>
        <w:rPr>
          <w:b/>
          <w:sz w:val="22"/>
          <w:szCs w:val="22"/>
        </w:rPr>
      </w:pPr>
    </w:p>
    <w:p w:rsidR="00D3245F" w:rsidRDefault="00D3245F" w:rsidP="00D3245F">
      <w:pPr>
        <w:tabs>
          <w:tab w:val="left" w:pos="0"/>
        </w:tabs>
        <w:ind w:hanging="360"/>
        <w:jc w:val="center"/>
        <w:rPr>
          <w:b/>
          <w:sz w:val="22"/>
          <w:szCs w:val="22"/>
        </w:rPr>
      </w:pPr>
    </w:p>
    <w:p w:rsidR="00D3245F" w:rsidRDefault="00D3245F" w:rsidP="00D3245F">
      <w:pPr>
        <w:tabs>
          <w:tab w:val="left" w:pos="0"/>
        </w:tabs>
        <w:ind w:hanging="360"/>
        <w:jc w:val="center"/>
        <w:rPr>
          <w:b/>
          <w:sz w:val="22"/>
          <w:szCs w:val="22"/>
        </w:rPr>
      </w:pPr>
    </w:p>
    <w:p w:rsidR="00D3245F" w:rsidRDefault="00D3245F" w:rsidP="00D3245F">
      <w:pPr>
        <w:tabs>
          <w:tab w:val="left" w:pos="0"/>
        </w:tabs>
        <w:ind w:hanging="360"/>
        <w:jc w:val="center"/>
        <w:rPr>
          <w:b/>
          <w:sz w:val="22"/>
          <w:szCs w:val="22"/>
        </w:rPr>
      </w:pPr>
    </w:p>
    <w:p w:rsidR="00D3245F" w:rsidRDefault="00D3245F" w:rsidP="00D3245F">
      <w:pPr>
        <w:tabs>
          <w:tab w:val="left" w:pos="0"/>
        </w:tabs>
        <w:ind w:hanging="360"/>
        <w:jc w:val="center"/>
        <w:rPr>
          <w:b/>
          <w:sz w:val="22"/>
          <w:szCs w:val="22"/>
        </w:rPr>
      </w:pPr>
    </w:p>
    <w:p w:rsidR="00D3245F" w:rsidRDefault="00D3245F" w:rsidP="00D3245F">
      <w:pPr>
        <w:tabs>
          <w:tab w:val="left" w:pos="0"/>
        </w:tabs>
        <w:ind w:hanging="360"/>
        <w:jc w:val="center"/>
        <w:rPr>
          <w:b/>
          <w:sz w:val="22"/>
          <w:szCs w:val="22"/>
        </w:rPr>
      </w:pPr>
    </w:p>
    <w:p w:rsidR="00D3245F" w:rsidRDefault="00D3245F" w:rsidP="00D3245F">
      <w:pPr>
        <w:tabs>
          <w:tab w:val="left" w:pos="0"/>
        </w:tabs>
        <w:ind w:hanging="360"/>
        <w:jc w:val="center"/>
        <w:rPr>
          <w:b/>
          <w:sz w:val="22"/>
          <w:szCs w:val="22"/>
        </w:rPr>
      </w:pPr>
    </w:p>
    <w:p w:rsidR="00D3245F" w:rsidRDefault="00D3245F" w:rsidP="00D3245F">
      <w:pPr>
        <w:tabs>
          <w:tab w:val="left" w:pos="0"/>
        </w:tabs>
        <w:ind w:hanging="360"/>
        <w:jc w:val="center"/>
        <w:rPr>
          <w:b/>
          <w:sz w:val="22"/>
          <w:szCs w:val="22"/>
        </w:rPr>
      </w:pPr>
    </w:p>
    <w:p w:rsidR="00D3245F" w:rsidRDefault="00D3245F" w:rsidP="00D3245F">
      <w:pPr>
        <w:tabs>
          <w:tab w:val="left" w:pos="0"/>
        </w:tabs>
        <w:ind w:hanging="360"/>
        <w:jc w:val="center"/>
        <w:rPr>
          <w:b/>
          <w:sz w:val="22"/>
          <w:szCs w:val="22"/>
        </w:rPr>
      </w:pPr>
    </w:p>
    <w:p w:rsidR="00D3245F" w:rsidRDefault="00D3245F" w:rsidP="00D3245F">
      <w:pPr>
        <w:tabs>
          <w:tab w:val="left" w:pos="0"/>
        </w:tabs>
        <w:ind w:hanging="360"/>
        <w:jc w:val="center"/>
        <w:rPr>
          <w:b/>
          <w:sz w:val="22"/>
          <w:szCs w:val="22"/>
        </w:rPr>
      </w:pPr>
    </w:p>
    <w:p w:rsidR="00D3245F" w:rsidRDefault="00D3245F" w:rsidP="00D3245F">
      <w:pPr>
        <w:tabs>
          <w:tab w:val="left" w:pos="0"/>
        </w:tabs>
        <w:ind w:hanging="360"/>
        <w:jc w:val="center"/>
        <w:rPr>
          <w:b/>
          <w:sz w:val="22"/>
          <w:szCs w:val="22"/>
        </w:rPr>
      </w:pPr>
    </w:p>
    <w:p w:rsidR="00D3245F" w:rsidRDefault="00D3245F" w:rsidP="00D3245F">
      <w:pPr>
        <w:tabs>
          <w:tab w:val="left" w:pos="0"/>
        </w:tabs>
        <w:ind w:hanging="360"/>
        <w:jc w:val="center"/>
        <w:rPr>
          <w:b/>
          <w:sz w:val="22"/>
          <w:szCs w:val="22"/>
        </w:rPr>
      </w:pPr>
    </w:p>
    <w:p w:rsidR="00D3245F" w:rsidRDefault="00D3245F" w:rsidP="00D3245F">
      <w:pPr>
        <w:tabs>
          <w:tab w:val="left" w:pos="0"/>
        </w:tabs>
        <w:ind w:hanging="360"/>
        <w:jc w:val="center"/>
        <w:rPr>
          <w:b/>
          <w:sz w:val="22"/>
          <w:szCs w:val="22"/>
        </w:rPr>
      </w:pPr>
    </w:p>
    <w:p w:rsidR="00D3245F" w:rsidRDefault="00D3245F" w:rsidP="00D3245F">
      <w:pPr>
        <w:tabs>
          <w:tab w:val="left" w:pos="0"/>
        </w:tabs>
        <w:ind w:hanging="360"/>
        <w:jc w:val="center"/>
        <w:rPr>
          <w:b/>
          <w:sz w:val="22"/>
          <w:szCs w:val="22"/>
        </w:rPr>
      </w:pPr>
    </w:p>
    <w:p w:rsidR="00D3245F" w:rsidRDefault="00D3245F" w:rsidP="00D3245F">
      <w:pPr>
        <w:tabs>
          <w:tab w:val="left" w:pos="0"/>
        </w:tabs>
        <w:ind w:hanging="360"/>
        <w:jc w:val="center"/>
        <w:rPr>
          <w:b/>
          <w:sz w:val="22"/>
          <w:szCs w:val="22"/>
        </w:rPr>
      </w:pPr>
    </w:p>
    <w:p w:rsidR="00D3245F" w:rsidRDefault="00D3245F" w:rsidP="00D3245F">
      <w:pPr>
        <w:tabs>
          <w:tab w:val="left" w:pos="0"/>
        </w:tabs>
        <w:ind w:hanging="360"/>
        <w:jc w:val="center"/>
        <w:rPr>
          <w:b/>
          <w:sz w:val="22"/>
          <w:szCs w:val="22"/>
        </w:rPr>
      </w:pPr>
    </w:p>
    <w:p w:rsidR="00D3245F" w:rsidRDefault="00D3245F" w:rsidP="00D3245F">
      <w:pPr>
        <w:tabs>
          <w:tab w:val="left" w:pos="0"/>
        </w:tabs>
        <w:ind w:hanging="360"/>
        <w:jc w:val="center"/>
        <w:rPr>
          <w:b/>
          <w:sz w:val="22"/>
          <w:szCs w:val="22"/>
        </w:rPr>
      </w:pPr>
    </w:p>
    <w:p w:rsidR="00D3245F" w:rsidRDefault="00D3245F" w:rsidP="00D3245F">
      <w:pPr>
        <w:tabs>
          <w:tab w:val="left" w:pos="0"/>
        </w:tabs>
        <w:ind w:hanging="360"/>
        <w:jc w:val="center"/>
        <w:rPr>
          <w:b/>
          <w:sz w:val="22"/>
          <w:szCs w:val="22"/>
        </w:rPr>
      </w:pPr>
    </w:p>
    <w:p w:rsidR="00D3245F" w:rsidRDefault="00D3245F" w:rsidP="00D3245F">
      <w:pPr>
        <w:tabs>
          <w:tab w:val="left" w:pos="0"/>
        </w:tabs>
        <w:ind w:hanging="360"/>
        <w:jc w:val="center"/>
        <w:rPr>
          <w:b/>
          <w:sz w:val="22"/>
          <w:szCs w:val="22"/>
        </w:rPr>
      </w:pPr>
    </w:p>
    <w:p w:rsidR="008726AC" w:rsidRDefault="008726AC" w:rsidP="008726AC">
      <w:pPr>
        <w:ind w:right="-441"/>
        <w:rPr>
          <w:b/>
        </w:rPr>
      </w:pPr>
    </w:p>
    <w:p w:rsidR="008726AC" w:rsidRDefault="008726AC" w:rsidP="008726AC">
      <w:pPr>
        <w:ind w:right="-441"/>
        <w:rPr>
          <w:b/>
        </w:rPr>
      </w:pPr>
      <w:r>
        <w:rPr>
          <w:b/>
        </w:rPr>
        <w:t xml:space="preserve">          </w:t>
      </w:r>
    </w:p>
    <w:p w:rsidR="008726AC" w:rsidRDefault="008726AC" w:rsidP="008726AC">
      <w:pPr>
        <w:ind w:right="-441"/>
        <w:rPr>
          <w:b/>
        </w:rPr>
      </w:pPr>
      <w:r>
        <w:rPr>
          <w:b/>
        </w:rPr>
        <w:t xml:space="preserve">               </w:t>
      </w:r>
    </w:p>
    <w:p w:rsidR="00D3245F" w:rsidRPr="00456EAC" w:rsidRDefault="008726AC" w:rsidP="008726AC">
      <w:pPr>
        <w:ind w:right="-441"/>
        <w:rPr>
          <w:b/>
          <w:caps/>
          <w:color w:val="2F5496"/>
        </w:rPr>
      </w:pPr>
      <w:r>
        <w:rPr>
          <w:b/>
        </w:rPr>
        <w:lastRenderedPageBreak/>
        <w:t xml:space="preserve">                         </w:t>
      </w:r>
      <w:r w:rsidR="00D3245F" w:rsidRPr="00456EAC">
        <w:rPr>
          <w:b/>
          <w:caps/>
          <w:color w:val="2F5496"/>
        </w:rPr>
        <w:t>Інформація щодо письмових звернень, що надійшли</w:t>
      </w:r>
    </w:p>
    <w:p w:rsidR="00D3245F" w:rsidRPr="00456EAC" w:rsidRDefault="00D3245F" w:rsidP="00D3245F">
      <w:pPr>
        <w:ind w:right="-441" w:hanging="540"/>
        <w:jc w:val="center"/>
        <w:rPr>
          <w:b/>
          <w:caps/>
          <w:color w:val="2F5496"/>
        </w:rPr>
      </w:pPr>
      <w:r w:rsidRPr="00456EAC">
        <w:rPr>
          <w:b/>
          <w:caps/>
          <w:color w:val="2F5496"/>
        </w:rPr>
        <w:t xml:space="preserve">в канцелярію АТ «Прикарпаттяобленерго»  у </w:t>
      </w:r>
      <w:r>
        <w:rPr>
          <w:b/>
          <w:caps/>
          <w:color w:val="2F5496"/>
        </w:rPr>
        <w:t>листопаді</w:t>
      </w:r>
      <w:r w:rsidRPr="00456EAC">
        <w:rPr>
          <w:b/>
          <w:caps/>
          <w:color w:val="2F5496"/>
        </w:rPr>
        <w:t xml:space="preserve"> 2018</w:t>
      </w:r>
    </w:p>
    <w:p w:rsidR="00D3245F" w:rsidRPr="00643A67" w:rsidRDefault="00D3245F" w:rsidP="00D3245F">
      <w:pPr>
        <w:ind w:right="-441" w:hanging="540"/>
        <w:rPr>
          <w:color w:val="0000FF"/>
        </w:rPr>
      </w:pPr>
    </w:p>
    <w:tbl>
      <w:tblPr>
        <w:tblW w:w="1091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6"/>
        <w:gridCol w:w="1164"/>
        <w:gridCol w:w="1265"/>
        <w:gridCol w:w="1399"/>
        <w:gridCol w:w="1275"/>
        <w:gridCol w:w="1030"/>
        <w:gridCol w:w="1238"/>
        <w:gridCol w:w="1134"/>
        <w:gridCol w:w="1134"/>
      </w:tblGrid>
      <w:tr w:rsidR="008726AC" w:rsidTr="008726AC">
        <w:trPr>
          <w:trHeight w:val="1882"/>
        </w:trPr>
        <w:tc>
          <w:tcPr>
            <w:tcW w:w="1276" w:type="dxa"/>
          </w:tcPr>
          <w:p w:rsidR="00D3245F" w:rsidRPr="005612EC" w:rsidRDefault="00D3245F" w:rsidP="0059535C">
            <w:pPr>
              <w:ind w:right="-108" w:hanging="108"/>
              <w:jc w:val="center"/>
              <w:rPr>
                <w:b/>
                <w:sz w:val="20"/>
                <w:szCs w:val="20"/>
              </w:rPr>
            </w:pPr>
            <w:r w:rsidRPr="005612EC">
              <w:rPr>
                <w:b/>
                <w:sz w:val="20"/>
                <w:szCs w:val="20"/>
              </w:rPr>
              <w:t xml:space="preserve">Всього звернень в ЦО  у </w:t>
            </w:r>
            <w:r>
              <w:rPr>
                <w:b/>
                <w:sz w:val="20"/>
                <w:szCs w:val="20"/>
              </w:rPr>
              <w:t>листопаді</w:t>
            </w:r>
          </w:p>
        </w:tc>
        <w:tc>
          <w:tcPr>
            <w:tcW w:w="1164" w:type="dxa"/>
          </w:tcPr>
          <w:p w:rsidR="00D3245F" w:rsidRPr="005612EC" w:rsidRDefault="00D3245F" w:rsidP="0059535C">
            <w:pPr>
              <w:ind w:right="-101" w:hanging="108"/>
              <w:jc w:val="center"/>
              <w:rPr>
                <w:b/>
                <w:sz w:val="20"/>
                <w:szCs w:val="20"/>
              </w:rPr>
            </w:pPr>
            <w:r w:rsidRPr="005612EC">
              <w:rPr>
                <w:b/>
                <w:sz w:val="20"/>
                <w:szCs w:val="20"/>
              </w:rPr>
              <w:t>Звернення  з уря</w:t>
            </w:r>
            <w:r w:rsidRPr="005612EC">
              <w:rPr>
                <w:b/>
                <w:sz w:val="20"/>
                <w:szCs w:val="20"/>
              </w:rPr>
              <w:softHyphen/>
              <w:t>дової «гаря</w:t>
            </w:r>
            <w:r w:rsidRPr="005612EC">
              <w:rPr>
                <w:b/>
                <w:sz w:val="20"/>
                <w:szCs w:val="20"/>
              </w:rPr>
              <w:softHyphen/>
              <w:t>чої » лінії</w:t>
            </w:r>
          </w:p>
        </w:tc>
        <w:tc>
          <w:tcPr>
            <w:tcW w:w="1265" w:type="dxa"/>
          </w:tcPr>
          <w:p w:rsidR="00D3245F" w:rsidRPr="005612EC" w:rsidRDefault="00D3245F" w:rsidP="0059535C">
            <w:pPr>
              <w:jc w:val="center"/>
              <w:rPr>
                <w:b/>
                <w:sz w:val="20"/>
                <w:szCs w:val="20"/>
              </w:rPr>
            </w:pPr>
            <w:r w:rsidRPr="005612EC">
              <w:rPr>
                <w:b/>
                <w:sz w:val="20"/>
                <w:szCs w:val="20"/>
              </w:rPr>
              <w:t>Звернення на пряму від споживачів</w:t>
            </w:r>
          </w:p>
        </w:tc>
        <w:tc>
          <w:tcPr>
            <w:tcW w:w="1399" w:type="dxa"/>
          </w:tcPr>
          <w:p w:rsidR="00D3245F" w:rsidRPr="005612EC" w:rsidRDefault="00D3245F" w:rsidP="0059535C">
            <w:pPr>
              <w:jc w:val="center"/>
              <w:rPr>
                <w:b/>
                <w:sz w:val="20"/>
                <w:szCs w:val="20"/>
              </w:rPr>
            </w:pPr>
            <w:r w:rsidRPr="005612EC">
              <w:rPr>
                <w:b/>
                <w:sz w:val="20"/>
                <w:szCs w:val="20"/>
              </w:rPr>
              <w:t>Звернення з державних й контролюю</w:t>
            </w:r>
          </w:p>
          <w:p w:rsidR="00D3245F" w:rsidRPr="005612EC" w:rsidRDefault="00D3245F" w:rsidP="0059535C">
            <w:pPr>
              <w:jc w:val="center"/>
              <w:rPr>
                <w:b/>
                <w:sz w:val="20"/>
                <w:szCs w:val="20"/>
              </w:rPr>
            </w:pPr>
            <w:r w:rsidRPr="005612EC">
              <w:rPr>
                <w:b/>
                <w:sz w:val="20"/>
                <w:szCs w:val="20"/>
              </w:rPr>
              <w:t>чих органів</w:t>
            </w:r>
          </w:p>
        </w:tc>
        <w:tc>
          <w:tcPr>
            <w:tcW w:w="1275" w:type="dxa"/>
          </w:tcPr>
          <w:p w:rsidR="00D3245F" w:rsidRPr="005612EC" w:rsidRDefault="00D3245F" w:rsidP="0059535C">
            <w:pPr>
              <w:jc w:val="center"/>
              <w:rPr>
                <w:b/>
                <w:sz w:val="20"/>
                <w:szCs w:val="20"/>
              </w:rPr>
            </w:pPr>
            <w:r w:rsidRPr="005612EC">
              <w:rPr>
                <w:b/>
                <w:sz w:val="20"/>
                <w:szCs w:val="20"/>
              </w:rPr>
              <w:t>Розглянутих звернень</w:t>
            </w:r>
          </w:p>
        </w:tc>
        <w:tc>
          <w:tcPr>
            <w:tcW w:w="1030" w:type="dxa"/>
          </w:tcPr>
          <w:p w:rsidR="00D3245F" w:rsidRPr="005612EC" w:rsidRDefault="00D3245F" w:rsidP="0059535C">
            <w:pPr>
              <w:jc w:val="center"/>
              <w:rPr>
                <w:b/>
                <w:sz w:val="20"/>
                <w:szCs w:val="20"/>
              </w:rPr>
            </w:pPr>
            <w:r w:rsidRPr="005612EC">
              <w:rPr>
                <w:b/>
                <w:sz w:val="20"/>
                <w:szCs w:val="20"/>
              </w:rPr>
              <w:t>В стадії розгляду</w:t>
            </w:r>
          </w:p>
        </w:tc>
        <w:tc>
          <w:tcPr>
            <w:tcW w:w="1238" w:type="dxa"/>
          </w:tcPr>
          <w:p w:rsidR="00D3245F" w:rsidRPr="005612EC" w:rsidRDefault="00D3245F" w:rsidP="0059535C">
            <w:pPr>
              <w:jc w:val="center"/>
              <w:rPr>
                <w:b/>
                <w:sz w:val="20"/>
                <w:szCs w:val="20"/>
              </w:rPr>
            </w:pPr>
            <w:r w:rsidRPr="005612EC">
              <w:rPr>
                <w:b/>
                <w:sz w:val="20"/>
                <w:szCs w:val="20"/>
              </w:rPr>
              <w:t xml:space="preserve">Звернення </w:t>
            </w:r>
            <w:r>
              <w:rPr>
                <w:b/>
                <w:sz w:val="20"/>
                <w:szCs w:val="20"/>
              </w:rPr>
              <w:t>дирекції комерційної</w:t>
            </w:r>
          </w:p>
        </w:tc>
        <w:tc>
          <w:tcPr>
            <w:tcW w:w="1134" w:type="dxa"/>
          </w:tcPr>
          <w:p w:rsidR="00D3245F" w:rsidRPr="005612EC" w:rsidRDefault="00D3245F" w:rsidP="0059535C">
            <w:pPr>
              <w:jc w:val="center"/>
              <w:rPr>
                <w:b/>
                <w:sz w:val="20"/>
                <w:szCs w:val="20"/>
              </w:rPr>
            </w:pPr>
            <w:r w:rsidRPr="005612EC">
              <w:rPr>
                <w:b/>
                <w:sz w:val="20"/>
                <w:szCs w:val="20"/>
              </w:rPr>
              <w:t xml:space="preserve">Звернення </w:t>
            </w:r>
            <w:r>
              <w:rPr>
                <w:b/>
                <w:sz w:val="20"/>
                <w:szCs w:val="20"/>
              </w:rPr>
              <w:t>дирекції технічної</w:t>
            </w:r>
            <w:r w:rsidRPr="005612EC">
              <w:rPr>
                <w:b/>
                <w:sz w:val="20"/>
                <w:szCs w:val="20"/>
              </w:rPr>
              <w:t xml:space="preserve"> з обліку ел.ен.</w:t>
            </w:r>
          </w:p>
        </w:tc>
        <w:tc>
          <w:tcPr>
            <w:tcW w:w="1134" w:type="dxa"/>
            <w:shd w:val="clear" w:color="auto" w:fill="auto"/>
          </w:tcPr>
          <w:p w:rsidR="00D3245F" w:rsidRDefault="00D3245F" w:rsidP="0059535C">
            <w:pPr>
              <w:jc w:val="center"/>
            </w:pPr>
            <w:r w:rsidRPr="005612EC">
              <w:rPr>
                <w:b/>
                <w:sz w:val="20"/>
                <w:szCs w:val="20"/>
              </w:rPr>
              <w:t xml:space="preserve">Звернення </w:t>
            </w:r>
            <w:r>
              <w:rPr>
                <w:b/>
                <w:sz w:val="20"/>
                <w:szCs w:val="20"/>
              </w:rPr>
              <w:t>дирекції технічної</w:t>
            </w:r>
            <w:r w:rsidRPr="005612EC">
              <w:rPr>
                <w:b/>
                <w:sz w:val="20"/>
                <w:szCs w:val="20"/>
              </w:rPr>
              <w:t xml:space="preserve"> з РМ</w:t>
            </w:r>
          </w:p>
        </w:tc>
      </w:tr>
      <w:tr w:rsidR="008726AC" w:rsidTr="008726AC">
        <w:trPr>
          <w:trHeight w:val="1836"/>
        </w:trPr>
        <w:tc>
          <w:tcPr>
            <w:tcW w:w="1276" w:type="dxa"/>
            <w:shd w:val="clear" w:color="auto" w:fill="auto"/>
          </w:tcPr>
          <w:p w:rsidR="00D3245F" w:rsidRPr="005612EC" w:rsidRDefault="00D3245F" w:rsidP="0059535C">
            <w:pPr>
              <w:jc w:val="center"/>
              <w:rPr>
                <w:b/>
              </w:rPr>
            </w:pPr>
            <w:r>
              <w:rPr>
                <w:b/>
              </w:rPr>
              <w:t>33</w:t>
            </w:r>
          </w:p>
        </w:tc>
        <w:tc>
          <w:tcPr>
            <w:tcW w:w="1164" w:type="dxa"/>
            <w:shd w:val="clear" w:color="auto" w:fill="auto"/>
          </w:tcPr>
          <w:p w:rsidR="00D3245F" w:rsidRPr="005612EC" w:rsidRDefault="00D3245F" w:rsidP="0059535C">
            <w:pPr>
              <w:jc w:val="center"/>
              <w:rPr>
                <w:b/>
              </w:rPr>
            </w:pPr>
            <w:r>
              <w:rPr>
                <w:b/>
              </w:rPr>
              <w:t>13</w:t>
            </w:r>
          </w:p>
        </w:tc>
        <w:tc>
          <w:tcPr>
            <w:tcW w:w="1265" w:type="dxa"/>
            <w:shd w:val="clear" w:color="auto" w:fill="auto"/>
          </w:tcPr>
          <w:p w:rsidR="00D3245F" w:rsidRPr="005612EC" w:rsidRDefault="00D3245F" w:rsidP="0059535C">
            <w:pPr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1399" w:type="dxa"/>
            <w:shd w:val="clear" w:color="auto" w:fill="auto"/>
          </w:tcPr>
          <w:p w:rsidR="00D3245F" w:rsidRPr="005612EC" w:rsidRDefault="00D3245F" w:rsidP="0059535C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275" w:type="dxa"/>
            <w:shd w:val="clear" w:color="auto" w:fill="auto"/>
          </w:tcPr>
          <w:p w:rsidR="00D3245F" w:rsidRDefault="00D3245F" w:rsidP="0059535C">
            <w:pPr>
              <w:ind w:right="-52" w:hanging="108"/>
            </w:pPr>
            <w:r>
              <w:rPr>
                <w:b/>
                <w:sz w:val="22"/>
                <w:szCs w:val="22"/>
              </w:rPr>
              <w:t xml:space="preserve">29 </w:t>
            </w:r>
            <w:r w:rsidRPr="005612EC">
              <w:rPr>
                <w:b/>
                <w:sz w:val="22"/>
                <w:szCs w:val="22"/>
              </w:rPr>
              <w:t>із них</w:t>
            </w:r>
            <w:r w:rsidRPr="00A82F50">
              <w:t>:</w:t>
            </w:r>
          </w:p>
          <w:p w:rsidR="00D3245F" w:rsidRPr="00DC2DAA" w:rsidRDefault="00D3245F" w:rsidP="0059535C">
            <w:pPr>
              <w:ind w:right="-52" w:hanging="108"/>
            </w:pPr>
            <w:r>
              <w:rPr>
                <w:b/>
                <w:sz w:val="22"/>
                <w:szCs w:val="22"/>
              </w:rPr>
              <w:t xml:space="preserve">21 </w:t>
            </w:r>
            <w:r w:rsidRPr="0076160C">
              <w:rPr>
                <w:sz w:val="16"/>
                <w:szCs w:val="16"/>
              </w:rPr>
              <w:t>–</w:t>
            </w:r>
            <w:r w:rsidRPr="0076160C">
              <w:t xml:space="preserve"> </w:t>
            </w:r>
            <w:r>
              <w:rPr>
                <w:sz w:val="22"/>
                <w:szCs w:val="22"/>
              </w:rPr>
              <w:t xml:space="preserve">надано </w:t>
            </w:r>
            <w:r w:rsidRPr="00F97784">
              <w:rPr>
                <w:sz w:val="22"/>
                <w:szCs w:val="22"/>
              </w:rPr>
              <w:t>роз’яснення;</w:t>
            </w:r>
          </w:p>
          <w:p w:rsidR="00D3245F" w:rsidRPr="005612EC" w:rsidRDefault="00D3245F" w:rsidP="0059535C">
            <w:pPr>
              <w:ind w:left="-116" w:right="-137"/>
              <w:rPr>
                <w:sz w:val="20"/>
                <w:szCs w:val="20"/>
              </w:rPr>
            </w:pPr>
            <w:r>
              <w:rPr>
                <w:b/>
                <w:sz w:val="22"/>
                <w:szCs w:val="22"/>
              </w:rPr>
              <w:t xml:space="preserve"> 8-</w:t>
            </w:r>
            <w:r w:rsidRPr="0076160C">
              <w:rPr>
                <w:sz w:val="18"/>
                <w:szCs w:val="18"/>
              </w:rPr>
              <w:t xml:space="preserve"> </w:t>
            </w:r>
            <w:r w:rsidRPr="0076160C">
              <w:rPr>
                <w:sz w:val="22"/>
                <w:szCs w:val="22"/>
              </w:rPr>
              <w:t>вирішено на кори</w:t>
            </w:r>
            <w:r w:rsidRPr="005612EC">
              <w:rPr>
                <w:sz w:val="22"/>
                <w:szCs w:val="22"/>
              </w:rPr>
              <w:t>сть споживача</w:t>
            </w:r>
          </w:p>
        </w:tc>
        <w:tc>
          <w:tcPr>
            <w:tcW w:w="1030" w:type="dxa"/>
            <w:shd w:val="clear" w:color="auto" w:fill="auto"/>
          </w:tcPr>
          <w:p w:rsidR="00D3245F" w:rsidRPr="004665C5" w:rsidRDefault="00D3245F" w:rsidP="0059535C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238" w:type="dxa"/>
            <w:shd w:val="clear" w:color="auto" w:fill="auto"/>
          </w:tcPr>
          <w:p w:rsidR="00D3245F" w:rsidRPr="00F11571" w:rsidRDefault="00D3245F" w:rsidP="0059535C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D3245F" w:rsidRPr="00F11571" w:rsidRDefault="00D3245F" w:rsidP="0059535C">
            <w:pPr>
              <w:jc w:val="center"/>
              <w:rPr>
                <w:b/>
              </w:rPr>
            </w:pPr>
            <w:r>
              <w:rPr>
                <w:b/>
              </w:rPr>
              <w:t>28</w:t>
            </w:r>
          </w:p>
        </w:tc>
        <w:tc>
          <w:tcPr>
            <w:tcW w:w="1134" w:type="dxa"/>
            <w:shd w:val="clear" w:color="auto" w:fill="auto"/>
          </w:tcPr>
          <w:p w:rsidR="00D3245F" w:rsidRPr="00F11571" w:rsidRDefault="00D3245F" w:rsidP="0059535C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</w:tr>
    </w:tbl>
    <w:p w:rsidR="00D3245F" w:rsidRDefault="008726AC" w:rsidP="00D3245F">
      <w:r>
        <w:rPr>
          <w:b/>
          <w:caps/>
          <w:noProof/>
          <w:color w:val="0000FF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203200</wp:posOffset>
            </wp:positionV>
            <wp:extent cx="6250940" cy="2846070"/>
            <wp:effectExtent l="0" t="0" r="0" b="0"/>
            <wp:wrapSquare wrapText="right"/>
            <wp:docPr id="5" name="Діаграма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3245F" w:rsidRDefault="00D3245F" w:rsidP="00D3245F"/>
    <w:p w:rsidR="00D3245F" w:rsidRPr="00456EAC" w:rsidRDefault="00D3245F" w:rsidP="00D3245F">
      <w:pPr>
        <w:ind w:left="-720" w:right="-261"/>
        <w:jc w:val="center"/>
        <w:rPr>
          <w:b/>
          <w:caps/>
          <w:color w:val="2F5496"/>
        </w:rPr>
      </w:pPr>
      <w:r>
        <w:rPr>
          <w:b/>
          <w:caps/>
          <w:color w:val="2F5496"/>
        </w:rPr>
        <w:t xml:space="preserve">            </w:t>
      </w:r>
      <w:r w:rsidRPr="00456EAC">
        <w:rPr>
          <w:b/>
          <w:caps/>
          <w:color w:val="2F5496"/>
        </w:rPr>
        <w:t xml:space="preserve">Кількість розглянутих звернень з основних напрямків діяльності, </w:t>
      </w:r>
    </w:p>
    <w:p w:rsidR="00D3245F" w:rsidRPr="00456EAC" w:rsidRDefault="00D3245F" w:rsidP="00D3245F">
      <w:pPr>
        <w:ind w:left="-720" w:right="-261"/>
        <w:jc w:val="center"/>
        <w:rPr>
          <w:b/>
          <w:caps/>
          <w:color w:val="2F5496"/>
        </w:rPr>
      </w:pPr>
      <w:r>
        <w:rPr>
          <w:b/>
          <w:caps/>
          <w:color w:val="2F5496"/>
        </w:rPr>
        <w:t xml:space="preserve">            </w:t>
      </w:r>
      <w:r w:rsidRPr="00456EAC">
        <w:rPr>
          <w:b/>
          <w:caps/>
          <w:color w:val="2F5496"/>
        </w:rPr>
        <w:t xml:space="preserve">що надійшли  в канцелярію АТ «Прикарпаттяобленерго» у </w:t>
      </w:r>
      <w:r>
        <w:rPr>
          <w:b/>
          <w:caps/>
          <w:color w:val="2F5496"/>
        </w:rPr>
        <w:t>листопаді</w:t>
      </w:r>
      <w:r w:rsidRPr="00456EAC">
        <w:rPr>
          <w:b/>
          <w:caps/>
          <w:color w:val="2F5496"/>
        </w:rPr>
        <w:t xml:space="preserve"> 2018</w:t>
      </w:r>
    </w:p>
    <w:p w:rsidR="00D3245F" w:rsidRDefault="00D3245F" w:rsidP="00D3245F">
      <w:pPr>
        <w:tabs>
          <w:tab w:val="left" w:pos="-900"/>
        </w:tabs>
        <w:ind w:left="-517" w:right="-441" w:hanging="900"/>
        <w:jc w:val="center"/>
        <w:rPr>
          <w:b/>
          <w:caps/>
          <w:color w:val="0000FF"/>
        </w:rPr>
      </w:pPr>
    </w:p>
    <w:p w:rsidR="00D3245F" w:rsidRDefault="00D3245F" w:rsidP="00D3245F">
      <w:pPr>
        <w:tabs>
          <w:tab w:val="left" w:pos="-900"/>
        </w:tabs>
        <w:ind w:left="-517" w:right="-441" w:hanging="900"/>
        <w:jc w:val="center"/>
        <w:rPr>
          <w:b/>
          <w:caps/>
          <w:color w:val="0000FF"/>
        </w:rPr>
      </w:pPr>
      <w:r w:rsidRPr="007C3D1A"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760095</wp:posOffset>
            </wp:positionH>
            <wp:positionV relativeFrom="paragraph">
              <wp:posOffset>14605</wp:posOffset>
            </wp:positionV>
            <wp:extent cx="5368290" cy="3329940"/>
            <wp:effectExtent l="0" t="6350" r="5715" b="0"/>
            <wp:wrapSquare wrapText="left"/>
            <wp:docPr id="4" name="Діаграма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3245F" w:rsidRPr="00643A67" w:rsidRDefault="00D3245F" w:rsidP="00D3245F">
      <w:pPr>
        <w:tabs>
          <w:tab w:val="left" w:pos="-900"/>
        </w:tabs>
        <w:ind w:left="-517" w:right="-441" w:hanging="900"/>
        <w:jc w:val="center"/>
        <w:rPr>
          <w:b/>
          <w:color w:val="0000FF"/>
        </w:rPr>
      </w:pPr>
    </w:p>
    <w:p w:rsidR="00D3245F" w:rsidRDefault="00D3245F" w:rsidP="00D3245F">
      <w:pPr>
        <w:jc w:val="center"/>
      </w:pPr>
    </w:p>
    <w:p w:rsidR="00D3245F" w:rsidRPr="004E69E7" w:rsidRDefault="00D3245F" w:rsidP="00D3245F">
      <w:pPr>
        <w:ind w:right="531" w:hanging="180"/>
        <w:rPr>
          <w:lang w:val="ru-RU"/>
        </w:rPr>
      </w:pPr>
    </w:p>
    <w:p w:rsidR="00D3245F" w:rsidRDefault="00D3245F" w:rsidP="00D3245F">
      <w:pPr>
        <w:ind w:right="-441" w:hanging="540"/>
        <w:jc w:val="center"/>
        <w:rPr>
          <w:b/>
          <w:caps/>
          <w:color w:val="0000FF"/>
        </w:rPr>
      </w:pPr>
    </w:p>
    <w:p w:rsidR="00D3245F" w:rsidRPr="00194F42" w:rsidRDefault="00D3245F" w:rsidP="00D3245F">
      <w:pPr>
        <w:ind w:right="-441" w:hanging="540"/>
        <w:rPr>
          <w:b/>
          <w:caps/>
          <w:color w:val="2F5496"/>
        </w:rPr>
      </w:pPr>
    </w:p>
    <w:p w:rsidR="00D3245F" w:rsidRDefault="00D3245F" w:rsidP="00D3245F">
      <w:pPr>
        <w:ind w:right="-441" w:hanging="540"/>
        <w:jc w:val="center"/>
        <w:rPr>
          <w:b/>
          <w:caps/>
          <w:color w:val="2F5496"/>
        </w:rPr>
      </w:pPr>
    </w:p>
    <w:p w:rsidR="00D3245F" w:rsidRDefault="00D3245F" w:rsidP="00D3245F">
      <w:pPr>
        <w:ind w:right="-441" w:hanging="540"/>
        <w:jc w:val="center"/>
        <w:rPr>
          <w:b/>
          <w:caps/>
          <w:color w:val="2F5496"/>
        </w:rPr>
      </w:pPr>
    </w:p>
    <w:p w:rsidR="00D3245F" w:rsidRPr="00456EAC" w:rsidRDefault="00D3245F" w:rsidP="00D3245F">
      <w:pPr>
        <w:ind w:right="-441" w:hanging="540"/>
        <w:jc w:val="center"/>
        <w:rPr>
          <w:b/>
          <w:caps/>
          <w:color w:val="2F5496"/>
        </w:rPr>
      </w:pPr>
      <w:r w:rsidRPr="00456EAC">
        <w:rPr>
          <w:b/>
          <w:caps/>
          <w:color w:val="2F5496"/>
        </w:rPr>
        <w:lastRenderedPageBreak/>
        <w:t xml:space="preserve">Тематика письмових звернень Технічної дирекції розподільчих мереж, </w:t>
      </w:r>
    </w:p>
    <w:p w:rsidR="00D3245F" w:rsidRDefault="00D3245F" w:rsidP="00D3245F">
      <w:pPr>
        <w:ind w:right="-441" w:hanging="540"/>
        <w:jc w:val="center"/>
        <w:rPr>
          <w:b/>
          <w:caps/>
          <w:color w:val="0000FF"/>
        </w:rPr>
      </w:pPr>
      <w:r w:rsidRPr="00456EAC">
        <w:rPr>
          <w:b/>
          <w:caps/>
          <w:color w:val="2F5496"/>
        </w:rPr>
        <w:t xml:space="preserve"> що надійшли в канцелярію АТ «Прикарпаттяобленерго» у </w:t>
      </w:r>
      <w:r>
        <w:rPr>
          <w:b/>
          <w:caps/>
          <w:color w:val="2F5496"/>
        </w:rPr>
        <w:t>ЛИСТОПАДІ</w:t>
      </w:r>
      <w:r w:rsidRPr="00456EAC">
        <w:rPr>
          <w:b/>
          <w:caps/>
          <w:color w:val="2F5496"/>
        </w:rPr>
        <w:t xml:space="preserve"> 2018</w:t>
      </w:r>
    </w:p>
    <w:p w:rsidR="00D3245F" w:rsidRPr="00643A67" w:rsidRDefault="00D3245F" w:rsidP="00D3245F">
      <w:pPr>
        <w:ind w:right="-441" w:hanging="540"/>
        <w:jc w:val="center"/>
        <w:rPr>
          <w:b/>
          <w:caps/>
          <w:color w:val="0000FF"/>
        </w:rPr>
      </w:pPr>
    </w:p>
    <w:p w:rsidR="00D3245F" w:rsidRDefault="00D3245F" w:rsidP="00D3245F">
      <w:pPr>
        <w:ind w:right="531" w:hanging="180"/>
        <w:rPr>
          <w:b/>
          <w:sz w:val="28"/>
          <w:szCs w:val="28"/>
        </w:rPr>
      </w:pPr>
    </w:p>
    <w:p w:rsidR="00D3245F" w:rsidRDefault="00D3245F" w:rsidP="00D3245F">
      <w:pPr>
        <w:ind w:right="531" w:hanging="180"/>
        <w:rPr>
          <w:b/>
          <w:sz w:val="28"/>
          <w:szCs w:val="28"/>
        </w:rPr>
      </w:pPr>
    </w:p>
    <w:p w:rsidR="00D3245F" w:rsidRDefault="00D3245F" w:rsidP="00D3245F">
      <w:pPr>
        <w:ind w:right="531" w:hanging="180"/>
        <w:rPr>
          <w:b/>
          <w:sz w:val="28"/>
          <w:szCs w:val="28"/>
        </w:rPr>
      </w:pPr>
    </w:p>
    <w:p w:rsidR="00D3245F" w:rsidRDefault="00D3245F" w:rsidP="00D3245F">
      <w:pPr>
        <w:ind w:right="531" w:hanging="180"/>
        <w:rPr>
          <w:b/>
          <w:sz w:val="28"/>
          <w:szCs w:val="28"/>
        </w:rPr>
      </w:pPr>
    </w:p>
    <w:p w:rsidR="00D3245F" w:rsidRDefault="00D3245F" w:rsidP="00D3245F">
      <w:pPr>
        <w:ind w:right="531" w:hanging="180"/>
        <w:rPr>
          <w:b/>
          <w:sz w:val="28"/>
          <w:szCs w:val="28"/>
        </w:rPr>
      </w:pPr>
    </w:p>
    <w:p w:rsidR="00D3245F" w:rsidRDefault="00D3245F" w:rsidP="00D3245F">
      <w:pPr>
        <w:ind w:right="531" w:hanging="180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36195</wp:posOffset>
            </wp:positionH>
            <wp:positionV relativeFrom="paragraph">
              <wp:posOffset>516890</wp:posOffset>
            </wp:positionV>
            <wp:extent cx="6696075" cy="4643755"/>
            <wp:effectExtent l="0" t="1270" r="1905" b="3175"/>
            <wp:wrapSquare wrapText="right"/>
            <wp:docPr id="3" name="Діаграма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  <w:sz w:val="28"/>
          <w:szCs w:val="28"/>
        </w:rPr>
        <w:br w:type="textWrapping" w:clear="all"/>
      </w:r>
    </w:p>
    <w:p w:rsidR="00D3245F" w:rsidRDefault="00D3245F" w:rsidP="00D3245F">
      <w:pPr>
        <w:ind w:right="531" w:hanging="180"/>
        <w:rPr>
          <w:b/>
          <w:sz w:val="28"/>
          <w:szCs w:val="28"/>
        </w:rPr>
      </w:pPr>
    </w:p>
    <w:p w:rsidR="00D3245F" w:rsidRDefault="00D3245F" w:rsidP="00D3245F">
      <w:pPr>
        <w:ind w:right="-441" w:hanging="540"/>
        <w:jc w:val="center"/>
        <w:rPr>
          <w:b/>
          <w:caps/>
          <w:color w:val="0000FF"/>
        </w:rPr>
      </w:pPr>
    </w:p>
    <w:p w:rsidR="00D3245F" w:rsidRDefault="00D3245F" w:rsidP="00D3245F">
      <w:pPr>
        <w:ind w:right="-441" w:hanging="540"/>
        <w:jc w:val="center"/>
        <w:rPr>
          <w:b/>
          <w:caps/>
          <w:color w:val="0000FF"/>
        </w:rPr>
      </w:pPr>
    </w:p>
    <w:p w:rsidR="00D3245F" w:rsidRDefault="00D3245F" w:rsidP="00D3245F">
      <w:pPr>
        <w:ind w:right="-441" w:hanging="540"/>
        <w:jc w:val="center"/>
        <w:rPr>
          <w:b/>
          <w:caps/>
          <w:color w:val="0000FF"/>
        </w:rPr>
      </w:pPr>
    </w:p>
    <w:p w:rsidR="00D3245F" w:rsidRDefault="00D3245F" w:rsidP="00D3245F">
      <w:pPr>
        <w:ind w:right="-441" w:hanging="540"/>
        <w:jc w:val="center"/>
        <w:rPr>
          <w:b/>
          <w:caps/>
          <w:color w:val="0000FF"/>
        </w:rPr>
      </w:pPr>
    </w:p>
    <w:p w:rsidR="00D3245F" w:rsidRDefault="00D3245F" w:rsidP="00D3245F">
      <w:pPr>
        <w:ind w:right="-441" w:hanging="540"/>
        <w:jc w:val="center"/>
        <w:rPr>
          <w:b/>
          <w:caps/>
          <w:color w:val="0000FF"/>
        </w:rPr>
      </w:pPr>
    </w:p>
    <w:p w:rsidR="00D3245F" w:rsidRDefault="00D3245F" w:rsidP="00D3245F">
      <w:pPr>
        <w:ind w:right="-441" w:hanging="540"/>
        <w:jc w:val="center"/>
        <w:rPr>
          <w:b/>
          <w:caps/>
          <w:color w:val="0000FF"/>
        </w:rPr>
      </w:pPr>
    </w:p>
    <w:p w:rsidR="00D3245F" w:rsidRDefault="00D3245F" w:rsidP="00D3245F">
      <w:pPr>
        <w:ind w:right="-441" w:hanging="540"/>
        <w:jc w:val="center"/>
        <w:rPr>
          <w:b/>
          <w:caps/>
          <w:color w:val="0000FF"/>
        </w:rPr>
      </w:pPr>
    </w:p>
    <w:p w:rsidR="00D3245F" w:rsidRDefault="00D3245F" w:rsidP="00D3245F">
      <w:pPr>
        <w:ind w:right="-441" w:hanging="540"/>
        <w:jc w:val="center"/>
        <w:rPr>
          <w:b/>
          <w:caps/>
          <w:color w:val="0000FF"/>
        </w:rPr>
      </w:pPr>
    </w:p>
    <w:p w:rsidR="00D3245F" w:rsidRPr="004E69E7" w:rsidRDefault="00D3245F" w:rsidP="00D3245F">
      <w:pPr>
        <w:ind w:right="-441" w:hanging="540"/>
        <w:jc w:val="center"/>
        <w:rPr>
          <w:b/>
          <w:caps/>
          <w:color w:val="0000FF"/>
          <w:lang w:val="ru-RU"/>
        </w:rPr>
      </w:pPr>
    </w:p>
    <w:p w:rsidR="00D3245F" w:rsidRPr="004E69E7" w:rsidRDefault="00D3245F" w:rsidP="00D3245F">
      <w:pPr>
        <w:ind w:right="-441" w:hanging="540"/>
        <w:jc w:val="center"/>
        <w:rPr>
          <w:b/>
          <w:caps/>
          <w:color w:val="0000FF"/>
          <w:lang w:val="ru-RU"/>
        </w:rPr>
      </w:pPr>
    </w:p>
    <w:p w:rsidR="00D3245F" w:rsidRDefault="00D3245F" w:rsidP="00D3245F">
      <w:pPr>
        <w:ind w:right="-441" w:hanging="540"/>
        <w:jc w:val="center"/>
        <w:rPr>
          <w:b/>
          <w:caps/>
          <w:color w:val="0000FF"/>
          <w:lang w:val="ru-RU"/>
        </w:rPr>
      </w:pPr>
    </w:p>
    <w:p w:rsidR="00D3245F" w:rsidRDefault="00D3245F" w:rsidP="00D3245F">
      <w:pPr>
        <w:ind w:right="-441" w:hanging="540"/>
        <w:jc w:val="center"/>
        <w:rPr>
          <w:b/>
          <w:caps/>
          <w:color w:val="0000FF"/>
          <w:lang w:val="ru-RU"/>
        </w:rPr>
      </w:pPr>
    </w:p>
    <w:p w:rsidR="00D3245F" w:rsidRDefault="00D3245F" w:rsidP="00D3245F">
      <w:pPr>
        <w:ind w:right="-441" w:hanging="540"/>
        <w:jc w:val="center"/>
        <w:rPr>
          <w:b/>
          <w:caps/>
          <w:color w:val="0000FF"/>
          <w:lang w:val="ru-RU"/>
        </w:rPr>
      </w:pPr>
    </w:p>
    <w:p w:rsidR="00D3245F" w:rsidRDefault="00D3245F" w:rsidP="00D3245F">
      <w:pPr>
        <w:ind w:right="-441" w:hanging="540"/>
        <w:jc w:val="center"/>
        <w:rPr>
          <w:b/>
          <w:caps/>
          <w:color w:val="0000FF"/>
          <w:lang w:val="ru-RU"/>
        </w:rPr>
      </w:pPr>
    </w:p>
    <w:p w:rsidR="00D3245F" w:rsidRDefault="00D3245F" w:rsidP="00D3245F">
      <w:pPr>
        <w:ind w:right="-441" w:hanging="540"/>
        <w:jc w:val="center"/>
        <w:rPr>
          <w:b/>
          <w:caps/>
          <w:color w:val="0000FF"/>
          <w:lang w:val="ru-RU"/>
        </w:rPr>
      </w:pPr>
    </w:p>
    <w:p w:rsidR="00D3245F" w:rsidRDefault="00D3245F" w:rsidP="00D3245F">
      <w:pPr>
        <w:ind w:right="-441" w:hanging="540"/>
        <w:jc w:val="center"/>
        <w:rPr>
          <w:b/>
          <w:caps/>
          <w:color w:val="0000FF"/>
          <w:lang w:val="ru-RU"/>
        </w:rPr>
      </w:pPr>
    </w:p>
    <w:p w:rsidR="00D3245F" w:rsidRDefault="00D3245F" w:rsidP="00D3245F">
      <w:pPr>
        <w:ind w:right="-441" w:hanging="540"/>
        <w:jc w:val="center"/>
        <w:rPr>
          <w:b/>
          <w:caps/>
          <w:color w:val="0000FF"/>
          <w:lang w:val="ru-RU"/>
        </w:rPr>
      </w:pPr>
    </w:p>
    <w:p w:rsidR="00D3245F" w:rsidRDefault="00D3245F" w:rsidP="00D3245F">
      <w:pPr>
        <w:ind w:right="-441"/>
        <w:rPr>
          <w:b/>
          <w:caps/>
          <w:color w:val="0000FF"/>
          <w:lang w:val="ru-RU"/>
        </w:rPr>
      </w:pPr>
    </w:p>
    <w:p w:rsidR="00D3245F" w:rsidRPr="004E69E7" w:rsidRDefault="00D3245F" w:rsidP="00D3245F">
      <w:pPr>
        <w:ind w:right="-441" w:hanging="540"/>
        <w:jc w:val="center"/>
        <w:rPr>
          <w:b/>
          <w:caps/>
          <w:color w:val="0000FF"/>
          <w:lang w:val="ru-RU"/>
        </w:rPr>
      </w:pPr>
    </w:p>
    <w:p w:rsidR="00D3245F" w:rsidRPr="00456EAC" w:rsidRDefault="00D3245F" w:rsidP="00D3245F">
      <w:pPr>
        <w:ind w:right="-441" w:hanging="540"/>
        <w:jc w:val="center"/>
        <w:rPr>
          <w:b/>
          <w:caps/>
          <w:color w:val="2F5496"/>
        </w:rPr>
      </w:pPr>
      <w:r w:rsidRPr="00456EAC">
        <w:rPr>
          <w:b/>
          <w:caps/>
          <w:color w:val="2F5496"/>
        </w:rPr>
        <w:t xml:space="preserve">Тематика письмових звернень Технічної дирекції з обліку електроенергії </w:t>
      </w:r>
    </w:p>
    <w:p w:rsidR="00D3245F" w:rsidRPr="00456EAC" w:rsidRDefault="00D3245F" w:rsidP="00D3245F">
      <w:pPr>
        <w:ind w:right="-441" w:hanging="540"/>
        <w:jc w:val="center"/>
        <w:rPr>
          <w:b/>
          <w:caps/>
          <w:color w:val="2F5496"/>
        </w:rPr>
      </w:pPr>
      <w:r w:rsidRPr="00456EAC">
        <w:rPr>
          <w:b/>
          <w:caps/>
          <w:color w:val="2F5496"/>
        </w:rPr>
        <w:t xml:space="preserve">  що надійшли в канцелярію АТ «Прикарпаттяобленерго» у </w:t>
      </w:r>
      <w:r>
        <w:rPr>
          <w:b/>
          <w:caps/>
          <w:color w:val="2F5496"/>
        </w:rPr>
        <w:t>листопаді</w:t>
      </w:r>
      <w:r w:rsidRPr="00456EAC">
        <w:rPr>
          <w:b/>
          <w:caps/>
          <w:color w:val="2F5496"/>
        </w:rPr>
        <w:t xml:space="preserve"> 2018</w:t>
      </w:r>
    </w:p>
    <w:p w:rsidR="00D3245F" w:rsidRPr="00A00C14" w:rsidRDefault="00D3245F" w:rsidP="00D3245F">
      <w:r>
        <w:rPr>
          <w:noProof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615315</wp:posOffset>
            </wp:positionH>
            <wp:positionV relativeFrom="paragraph">
              <wp:posOffset>54610</wp:posOffset>
            </wp:positionV>
            <wp:extent cx="5648325" cy="3829685"/>
            <wp:effectExtent l="0" t="0" r="3810" b="635"/>
            <wp:wrapSquare wrapText="right"/>
            <wp:docPr id="2" name="Діаграма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3245F" w:rsidRPr="00A00C14" w:rsidRDefault="00D3245F" w:rsidP="00D3245F"/>
    <w:p w:rsidR="00D3245F" w:rsidRPr="00A00C14" w:rsidRDefault="00D3245F" w:rsidP="00D3245F"/>
    <w:p w:rsidR="00D3245F" w:rsidRPr="00A00C14" w:rsidRDefault="00D3245F" w:rsidP="00D3245F"/>
    <w:p w:rsidR="00D3245F" w:rsidRPr="00A00C14" w:rsidRDefault="00D3245F" w:rsidP="00D3245F"/>
    <w:p w:rsidR="00D3245F" w:rsidRPr="00A00C14" w:rsidRDefault="00D3245F" w:rsidP="00D3245F"/>
    <w:p w:rsidR="00D3245F" w:rsidRPr="00A00C14" w:rsidRDefault="00D3245F" w:rsidP="00D3245F"/>
    <w:p w:rsidR="00D3245F" w:rsidRPr="00A00C14" w:rsidRDefault="00D3245F" w:rsidP="00D3245F"/>
    <w:p w:rsidR="00D3245F" w:rsidRPr="00A00C14" w:rsidRDefault="00D3245F" w:rsidP="00D3245F"/>
    <w:p w:rsidR="00D3245F" w:rsidRPr="00A00C14" w:rsidRDefault="00D3245F" w:rsidP="00D3245F"/>
    <w:p w:rsidR="00D3245F" w:rsidRDefault="00D3245F" w:rsidP="00D3245F"/>
    <w:p w:rsidR="00D3245F" w:rsidRPr="008A195A" w:rsidRDefault="00D3245F" w:rsidP="00D3245F">
      <w:pPr>
        <w:rPr>
          <w:b/>
          <w:caps/>
          <w:color w:val="2F5496"/>
        </w:rPr>
      </w:pPr>
    </w:p>
    <w:p w:rsidR="00D3245F" w:rsidRDefault="00D3245F" w:rsidP="00D3245F">
      <w:pPr>
        <w:jc w:val="center"/>
      </w:pPr>
    </w:p>
    <w:p w:rsidR="00D3245F" w:rsidRDefault="00D3245F" w:rsidP="00D3245F"/>
    <w:p w:rsidR="00D3245F" w:rsidRDefault="00D3245F" w:rsidP="00D3245F"/>
    <w:p w:rsidR="00D3245F" w:rsidRDefault="00D3245F" w:rsidP="00D3245F"/>
    <w:p w:rsidR="00D3245F" w:rsidRDefault="00D3245F" w:rsidP="00D3245F"/>
    <w:p w:rsidR="00D3245F" w:rsidRDefault="00D3245F" w:rsidP="00D3245F"/>
    <w:p w:rsidR="00D3245F" w:rsidRDefault="00D3245F" w:rsidP="00D3245F"/>
    <w:p w:rsidR="00D3245F" w:rsidRDefault="00D3245F" w:rsidP="00D3245F"/>
    <w:p w:rsidR="00D3245F" w:rsidRDefault="00D3245F" w:rsidP="00D3245F"/>
    <w:p w:rsidR="00D3245F" w:rsidRDefault="00D3245F" w:rsidP="00D3245F">
      <w:pPr>
        <w:ind w:right="-441"/>
      </w:pPr>
    </w:p>
    <w:p w:rsidR="00D3245F" w:rsidRPr="004E69E7" w:rsidRDefault="00D3245F" w:rsidP="00D3245F">
      <w:pPr>
        <w:ind w:right="-441"/>
        <w:jc w:val="center"/>
        <w:rPr>
          <w:b/>
          <w:caps/>
          <w:color w:val="0000FF"/>
          <w:lang w:val="ru-RU"/>
        </w:rPr>
      </w:pPr>
    </w:p>
    <w:p w:rsidR="00D3245F" w:rsidRDefault="00D3245F" w:rsidP="00D3245F">
      <w:pPr>
        <w:ind w:right="-441" w:hanging="540"/>
        <w:jc w:val="center"/>
        <w:rPr>
          <w:b/>
          <w:caps/>
          <w:color w:val="2F5496"/>
        </w:rPr>
      </w:pPr>
      <w:r>
        <w:rPr>
          <w:b/>
          <w:caps/>
          <w:color w:val="2F5496"/>
        </w:rPr>
        <w:t xml:space="preserve"> </w:t>
      </w:r>
      <w:r w:rsidRPr="008A195A">
        <w:rPr>
          <w:b/>
          <w:caps/>
          <w:color w:val="2F5496"/>
        </w:rPr>
        <w:t>Тематика письмових звернень  Комерційної дирекції,</w:t>
      </w:r>
    </w:p>
    <w:p w:rsidR="00FF25CC" w:rsidRDefault="008726AC" w:rsidP="00D3245F">
      <w:pPr>
        <w:ind w:left="-397"/>
        <w:rPr>
          <w:b/>
          <w:caps/>
          <w:color w:val="2F5496"/>
        </w:rPr>
      </w:pPr>
      <w:r>
        <w:rPr>
          <w:noProof/>
        </w:rPr>
        <w:t xml:space="preserve">    </w:t>
      </w:r>
      <w:r w:rsidR="00D3245F" w:rsidRPr="008A195A">
        <w:rPr>
          <w:b/>
          <w:caps/>
          <w:color w:val="2F5496"/>
        </w:rPr>
        <w:t xml:space="preserve">що надійшли  в канцелярію АТ «Прикарпаттяобленерго» у </w:t>
      </w:r>
      <w:r w:rsidR="00D3245F">
        <w:rPr>
          <w:b/>
          <w:caps/>
          <w:color w:val="2F5496"/>
        </w:rPr>
        <w:t>листопаді</w:t>
      </w:r>
      <w:r>
        <w:rPr>
          <w:b/>
          <w:caps/>
          <w:color w:val="2F5496"/>
        </w:rPr>
        <w:t xml:space="preserve"> 2018</w:t>
      </w:r>
    </w:p>
    <w:p w:rsidR="008726AC" w:rsidRDefault="008726AC" w:rsidP="00D3245F">
      <w:pPr>
        <w:ind w:left="-397"/>
        <w:rPr>
          <w:b/>
          <w:caps/>
          <w:color w:val="2F5496"/>
        </w:rPr>
      </w:pPr>
    </w:p>
    <w:p w:rsidR="008726AC" w:rsidRDefault="008726AC" w:rsidP="00D3245F">
      <w:pPr>
        <w:ind w:left="-397"/>
        <w:rPr>
          <w:b/>
          <w:caps/>
          <w:color w:val="2F5496"/>
        </w:rPr>
      </w:pPr>
    </w:p>
    <w:p w:rsidR="008726AC" w:rsidRDefault="008726AC" w:rsidP="00D3245F">
      <w:pPr>
        <w:ind w:left="-397"/>
      </w:pPr>
      <w:bookmarkStart w:id="0" w:name="_GoBack"/>
      <w:bookmarkEnd w:id="0"/>
      <w:r>
        <w:rPr>
          <w:noProof/>
        </w:rPr>
        <w:drawing>
          <wp:inline distT="0" distB="0" distL="0" distR="0" wp14:anchorId="7BE67A00">
            <wp:extent cx="6504940" cy="4076065"/>
            <wp:effectExtent l="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04940" cy="40760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8726AC" w:rsidSect="008726AC">
      <w:pgSz w:w="11906" w:h="16838"/>
      <w:pgMar w:top="567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245F"/>
    <w:rsid w:val="008726AC"/>
    <w:rsid w:val="00D3245F"/>
    <w:rsid w:val="00FF25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6975AE"/>
  <w15:chartTrackingRefBased/>
  <w15:docId w15:val="{51D48FB1-67AB-4121-83CE-060B1D0B7E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3245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4.xml"/><Relationship Id="rId3" Type="http://schemas.openxmlformats.org/officeDocument/2006/relationships/settings" Target="settings.xml"/><Relationship Id="rId7" Type="http://schemas.openxmlformats.org/officeDocument/2006/relationships/chart" Target="charts/chart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chart" Target="charts/chart2.xml"/><Relationship Id="rId11" Type="http://schemas.openxmlformats.org/officeDocument/2006/relationships/theme" Target="theme/theme1.xml"/><Relationship Id="rId5" Type="http://schemas.openxmlformats.org/officeDocument/2006/relationships/chart" Target="charts/chart1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1.png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_Microsoft_Excel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_Microsoft_Excel1.xlsx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_Microsoft_Excel2.xlsx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_Microsoft_Excel3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uk-UA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15"/>
      <c:rotY val="0"/>
      <c:rAngAx val="0"/>
      <c:perspective val="0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0.24420401854714066"/>
          <c:y val="0.25951557093425603"/>
          <c:w val="0.51159196290571873"/>
          <c:h val="0.45328719723183392"/>
        </c:manualLayout>
      </c:layout>
      <c:pie3DChart>
        <c:varyColors val="1"/>
        <c:ser>
          <c:idx val="0"/>
          <c:order val="0"/>
          <c:tx>
            <c:strRef>
              <c:f>Sheet1!$A$2</c:f>
              <c:strCache>
                <c:ptCount val="1"/>
              </c:strCache>
            </c:strRef>
          </c:tx>
          <c:spPr>
            <a:ln w="12686">
              <a:solidFill>
                <a:srgbClr val="000000"/>
              </a:solidFill>
              <a:prstDash val="solid"/>
            </a:ln>
          </c:spPr>
          <c:dPt>
            <c:idx val="0"/>
            <c:bubble3D val="0"/>
            <c:explosion val="8"/>
            <c:spPr>
              <a:solidFill>
                <a:srgbClr val="0066CC"/>
              </a:solidFill>
              <a:ln w="12686">
                <a:solidFill>
                  <a:srgbClr val="00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0-54AD-4218-B52E-4EFDA80F3BD3}"/>
              </c:ext>
            </c:extLst>
          </c:dPt>
          <c:dPt>
            <c:idx val="1"/>
            <c:bubble3D val="0"/>
            <c:spPr>
              <a:gradFill rotWithShape="0">
                <a:gsLst>
                  <a:gs pos="0">
                    <a:srgbClr xmlns:mc="http://schemas.openxmlformats.org/markup-compatibility/2006" xmlns:a14="http://schemas.microsoft.com/office/drawing/2010/main" val="FFCC00" mc:Ignorable="a14" a14:legacySpreadsheetColorIndex="51"/>
                  </a:gs>
                  <a:gs pos="100000">
                    <a:srgbClr xmlns:mc="http://schemas.openxmlformats.org/markup-compatibility/2006" xmlns:a14="http://schemas.microsoft.com/office/drawing/2010/main" val="FFCC99" mc:Ignorable="a14" a14:legacySpreadsheetColorIndex="47"/>
                  </a:gs>
                </a:gsLst>
                <a:lin ang="0" scaled="1"/>
              </a:gradFill>
              <a:ln w="12686">
                <a:solidFill>
                  <a:srgbClr val="00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1-54AD-4218-B52E-4EFDA80F3BD3}"/>
              </c:ext>
            </c:extLst>
          </c:dPt>
          <c:dPt>
            <c:idx val="2"/>
            <c:bubble3D val="0"/>
            <c:spPr>
              <a:gradFill rotWithShape="0">
                <a:gsLst>
                  <a:gs pos="0">
                    <a:srgbClr xmlns:mc="http://schemas.openxmlformats.org/markup-compatibility/2006" xmlns:a14="http://schemas.microsoft.com/office/drawing/2010/main" val="FFFF00" mc:Ignorable="a14" a14:legacySpreadsheetColorIndex="13"/>
                  </a:gs>
                  <a:gs pos="100000">
                    <a:srgbClr xmlns:mc="http://schemas.openxmlformats.org/markup-compatibility/2006" xmlns:a14="http://schemas.microsoft.com/office/drawing/2010/main" val="FFFFCC" mc:Ignorable="a14" a14:legacySpreadsheetColorIndex="26"/>
                  </a:gs>
                </a:gsLst>
                <a:lin ang="0" scaled="1"/>
              </a:gradFill>
              <a:ln w="12686">
                <a:solidFill>
                  <a:srgbClr val="00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2-54AD-4218-B52E-4EFDA80F3BD3}"/>
              </c:ext>
            </c:extLst>
          </c:dPt>
          <c:dLbls>
            <c:dLbl>
              <c:idx val="0"/>
              <c:layout>
                <c:manualLayout>
                  <c:x val="0.11200643781753272"/>
                  <c:y val="7.4289362750599386E-2"/>
                </c:manualLayout>
              </c:layout>
              <c:tx>
                <c:rich>
                  <a:bodyPr/>
                  <a:lstStyle/>
                  <a:p>
                    <a:pPr>
                      <a:defRPr sz="1174" b="1" i="0" u="none" strike="noStrike" baseline="0">
                        <a:solidFill>
                          <a:srgbClr val="000000"/>
                        </a:solidFill>
                        <a:latin typeface="Times New Roman"/>
                        <a:ea typeface="Times New Roman"/>
                        <a:cs typeface="Times New Roman"/>
                      </a:defRPr>
                    </a:pPr>
                    <a:r>
                      <a:rPr lang="uk-UA"/>
                      <a:t>Надано роз’яснень;
 21; 72%</a:t>
                    </a:r>
                  </a:p>
                </c:rich>
              </c:tx>
              <c:spPr>
                <a:noFill/>
                <a:ln w="25372">
                  <a:noFill/>
                </a:ln>
              </c:spPr>
              <c:dLblPos val="bestFit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0-54AD-4218-B52E-4EFDA80F3BD3}"/>
                </c:ext>
              </c:extLst>
            </c:dLbl>
            <c:dLbl>
              <c:idx val="1"/>
              <c:layout>
                <c:manualLayout>
                  <c:x val="-0.10469890033330334"/>
                  <c:y val="-0.11252996072785268"/>
                </c:manualLayout>
              </c:layout>
              <c:tx>
                <c:rich>
                  <a:bodyPr/>
                  <a:lstStyle/>
                  <a:p>
                    <a:pPr>
                      <a:defRPr sz="1174" b="1" i="0" u="none" strike="noStrike" baseline="0">
                        <a:solidFill>
                          <a:srgbClr val="000000"/>
                        </a:solidFill>
                        <a:latin typeface="Times New Roman"/>
                        <a:ea typeface="Times New Roman"/>
                        <a:cs typeface="Times New Roman"/>
                      </a:defRPr>
                    </a:pPr>
                    <a:r>
                      <a:rPr lang="uk-UA"/>
                      <a:t>Вирішено на користь споживача;
 8; 28%</a:t>
                    </a:r>
                  </a:p>
                </c:rich>
              </c:tx>
              <c:spPr>
                <a:noFill/>
                <a:ln w="25372">
                  <a:noFill/>
                </a:ln>
              </c:spPr>
              <c:dLblPos val="bestFit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54AD-4218-B52E-4EFDA80F3BD3}"/>
                </c:ext>
              </c:extLst>
            </c:dLbl>
            <c:dLbl>
              <c:idx val="2"/>
              <c:delet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2-54AD-4218-B52E-4EFDA80F3BD3}"/>
                </c:ext>
              </c:extLst>
            </c:dLbl>
            <c:dLbl>
              <c:idx val="3"/>
              <c:numFmt formatCode="0%" sourceLinked="0"/>
              <c:spPr>
                <a:noFill/>
                <a:ln w="25372">
                  <a:noFill/>
                </a:ln>
              </c:spPr>
              <c:txPr>
                <a:bodyPr/>
                <a:lstStyle/>
                <a:p>
                  <a:pPr>
                    <a:defRPr sz="2173" b="1" i="0" u="none" strike="noStrike" baseline="0">
                      <a:solidFill>
                        <a:srgbClr val="000000"/>
                      </a:solidFill>
                      <a:latin typeface="Arial Cyr"/>
                      <a:ea typeface="Arial Cyr"/>
                      <a:cs typeface="Arial Cyr"/>
                    </a:defRPr>
                  </a:pPr>
                  <a:endParaRPr lang="uk-UA"/>
                </a:p>
              </c:txPr>
              <c:showLegendKey val="0"/>
              <c:showVal val="1"/>
              <c:showCatName val="1"/>
              <c:showSerName val="0"/>
              <c:showPercent val="1"/>
              <c:showBubbleSize val="0"/>
              <c:extLst>
                <c:ext xmlns:c16="http://schemas.microsoft.com/office/drawing/2014/chart" uri="{C3380CC4-5D6E-409C-BE32-E72D297353CC}">
                  <c16:uniqueId val="{00000003-54AD-4218-B52E-4EFDA80F3BD3}"/>
                </c:ext>
              </c:extLst>
            </c:dLbl>
            <c:numFmt formatCode="0%" sourceLinked="0"/>
            <c:spPr>
              <a:noFill/>
              <a:ln w="25372">
                <a:noFill/>
              </a:ln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1174" b="1" i="0" u="none" strike="noStrike" baseline="0">
                    <a:solidFill>
                      <a:srgbClr val="000000"/>
                    </a:solidFill>
                    <a:latin typeface="Times New Roman"/>
                    <a:ea typeface="Times New Roman"/>
                    <a:cs typeface="Times New Roman"/>
                  </a:defRPr>
                </a:pPr>
                <a:endParaRPr lang="uk-UA"/>
              </a:p>
            </c:txPr>
            <c:showLegendKey val="0"/>
            <c:showVal val="1"/>
            <c:showCatName val="1"/>
            <c:showSerName val="0"/>
            <c:showPercent val="1"/>
            <c:showBubbleSize val="0"/>
            <c:showLeaderLines val="1"/>
            <c:extLst>
              <c:ext xmlns:c15="http://schemas.microsoft.com/office/drawing/2012/chart" uri="{CE6537A1-D6FC-4f65-9D91-7224C49458BB}"/>
            </c:extLst>
          </c:dLbls>
          <c:cat>
            <c:strRef>
              <c:f>Sheet1!$B$1:$D$1</c:f>
              <c:strCache>
                <c:ptCount val="2"/>
                <c:pt idx="0">
                  <c:v>Надано роз’яснень</c:v>
                </c:pt>
                <c:pt idx="1">
                  <c:v>Вирішено на користь споживача</c:v>
                </c:pt>
              </c:strCache>
            </c:strRef>
          </c:cat>
          <c:val>
            <c:numRef>
              <c:f>Sheet1!$B$2:$D$2</c:f>
              <c:numCache>
                <c:formatCode>General</c:formatCode>
                <c:ptCount val="2"/>
                <c:pt idx="0">
                  <c:v>21</c:v>
                </c:pt>
                <c:pt idx="1">
                  <c:v>8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4-54AD-4218-B52E-4EFDA80F3BD3}"/>
            </c:ext>
          </c:extLst>
        </c:ser>
        <c:ser>
          <c:idx val="1"/>
          <c:order val="1"/>
          <c:tx>
            <c:strRef>
              <c:f>Sheet1!$A$3</c:f>
              <c:strCache>
                <c:ptCount val="1"/>
              </c:strCache>
            </c:strRef>
          </c:tx>
          <c:spPr>
            <a:solidFill>
              <a:srgbClr val="993366"/>
            </a:solidFill>
            <a:ln w="12686">
              <a:solidFill>
                <a:srgbClr val="000000"/>
              </a:solidFill>
              <a:prstDash val="solid"/>
            </a:ln>
          </c:spPr>
          <c:dPt>
            <c:idx val="0"/>
            <c:bubble3D val="0"/>
            <c:spPr>
              <a:solidFill>
                <a:srgbClr val="9999FF"/>
              </a:solidFill>
              <a:ln w="12686">
                <a:solidFill>
                  <a:srgbClr val="00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5-54AD-4218-B52E-4EFDA80F3BD3}"/>
              </c:ext>
            </c:extLst>
          </c:dPt>
          <c:dPt>
            <c:idx val="1"/>
            <c:bubble3D val="0"/>
            <c:extLst>
              <c:ext xmlns:c16="http://schemas.microsoft.com/office/drawing/2014/chart" uri="{C3380CC4-5D6E-409C-BE32-E72D297353CC}">
                <c16:uniqueId val="{00000006-54AD-4218-B52E-4EFDA80F3BD3}"/>
              </c:ext>
            </c:extLst>
          </c:dPt>
          <c:dLbls>
            <c:numFmt formatCode="0%" sourceLinked="0"/>
            <c:spPr>
              <a:noFill/>
              <a:ln w="25372">
                <a:noFill/>
              </a:ln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2173" b="1" i="0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uk-UA"/>
              </a:p>
            </c:txPr>
            <c:showLegendKey val="0"/>
            <c:showVal val="1"/>
            <c:showCatName val="1"/>
            <c:showSerName val="0"/>
            <c:showPercent val="1"/>
            <c:showBubbleSize val="0"/>
            <c:showLeaderLines val="1"/>
            <c:extLst>
              <c:ext xmlns:c15="http://schemas.microsoft.com/office/drawing/2012/chart" uri="{CE6537A1-D6FC-4f65-9D91-7224C49458BB}"/>
            </c:extLst>
          </c:dLbls>
          <c:cat>
            <c:strRef>
              <c:f>Sheet1!$B$1:$D$1</c:f>
              <c:strCache>
                <c:ptCount val="2"/>
                <c:pt idx="0">
                  <c:v>Надано роз’яснень</c:v>
                </c:pt>
                <c:pt idx="1">
                  <c:v>Вирішено на користь споживача</c:v>
                </c:pt>
              </c:strCache>
            </c:strRef>
          </c:cat>
          <c:val>
            <c:numRef>
              <c:f>Sheet1!$B$3:$D$3</c:f>
              <c:numCache>
                <c:formatCode>General</c:formatCode>
                <c:ptCount val="2"/>
              </c:numCache>
            </c:numRef>
          </c:val>
          <c:extLst>
            <c:ext xmlns:c16="http://schemas.microsoft.com/office/drawing/2014/chart" uri="{C3380CC4-5D6E-409C-BE32-E72D297353CC}">
              <c16:uniqueId val="{00000007-54AD-4218-B52E-4EFDA80F3BD3}"/>
            </c:ext>
          </c:extLst>
        </c:ser>
        <c:ser>
          <c:idx val="2"/>
          <c:order val="2"/>
          <c:tx>
            <c:strRef>
              <c:f>Sheet1!$A$4</c:f>
              <c:strCache>
                <c:ptCount val="1"/>
              </c:strCache>
            </c:strRef>
          </c:tx>
          <c:spPr>
            <a:solidFill>
              <a:srgbClr val="FFFFCC"/>
            </a:solidFill>
            <a:ln w="12686">
              <a:solidFill>
                <a:srgbClr val="000000"/>
              </a:solidFill>
              <a:prstDash val="solid"/>
            </a:ln>
          </c:spPr>
          <c:dPt>
            <c:idx val="0"/>
            <c:bubble3D val="0"/>
            <c:spPr>
              <a:solidFill>
                <a:srgbClr val="9999FF"/>
              </a:solidFill>
              <a:ln w="12686">
                <a:solidFill>
                  <a:srgbClr val="00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8-54AD-4218-B52E-4EFDA80F3BD3}"/>
              </c:ext>
            </c:extLst>
          </c:dPt>
          <c:dPt>
            <c:idx val="1"/>
            <c:bubble3D val="0"/>
            <c:spPr>
              <a:solidFill>
                <a:srgbClr val="993366"/>
              </a:solidFill>
              <a:ln w="12686">
                <a:solidFill>
                  <a:srgbClr val="00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9-54AD-4218-B52E-4EFDA80F3BD3}"/>
              </c:ext>
            </c:extLst>
          </c:dPt>
          <c:dLbls>
            <c:numFmt formatCode="0%" sourceLinked="0"/>
            <c:spPr>
              <a:noFill/>
              <a:ln w="25372">
                <a:noFill/>
              </a:ln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2173" b="1" i="0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uk-UA"/>
              </a:p>
            </c:txPr>
            <c:showLegendKey val="0"/>
            <c:showVal val="1"/>
            <c:showCatName val="1"/>
            <c:showSerName val="0"/>
            <c:showPercent val="1"/>
            <c:showBubbleSize val="0"/>
            <c:showLeaderLines val="1"/>
            <c:extLst>
              <c:ext xmlns:c15="http://schemas.microsoft.com/office/drawing/2012/chart" uri="{CE6537A1-D6FC-4f65-9D91-7224C49458BB}"/>
            </c:extLst>
          </c:dLbls>
          <c:cat>
            <c:strRef>
              <c:f>Sheet1!$B$1:$D$1</c:f>
              <c:strCache>
                <c:ptCount val="2"/>
                <c:pt idx="0">
                  <c:v>Надано роз’яснень</c:v>
                </c:pt>
                <c:pt idx="1">
                  <c:v>Вирішено на користь споживача</c:v>
                </c:pt>
              </c:strCache>
            </c:strRef>
          </c:cat>
          <c:val>
            <c:numRef>
              <c:f>Sheet1!$B$4:$D$4</c:f>
              <c:numCache>
                <c:formatCode>General</c:formatCode>
                <c:ptCount val="2"/>
              </c:numCache>
            </c:numRef>
          </c:val>
          <c:extLst>
            <c:ext xmlns:c16="http://schemas.microsoft.com/office/drawing/2014/chart" uri="{C3380CC4-5D6E-409C-BE32-E72D297353CC}">
              <c16:uniqueId val="{0000000A-54AD-4218-B52E-4EFDA80F3BD3}"/>
            </c:ext>
          </c:extLst>
        </c:ser>
        <c:dLbls>
          <c:showLegendKey val="0"/>
          <c:showVal val="1"/>
          <c:showCatName val="1"/>
          <c:showSerName val="0"/>
          <c:showPercent val="1"/>
          <c:showBubbleSize val="0"/>
          <c:showLeaderLines val="1"/>
        </c:dLbls>
      </c:pie3DChart>
      <c:spPr>
        <a:noFill/>
        <a:ln w="25372">
          <a:noFill/>
        </a:ln>
      </c:spPr>
    </c:plotArea>
    <c:plotVisOnly val="1"/>
    <c:dispBlanksAs val="zero"/>
    <c:showDLblsOverMax val="0"/>
  </c:chart>
  <c:spPr>
    <a:noFill/>
    <a:ln>
      <a:noFill/>
    </a:ln>
  </c:spPr>
  <c:txPr>
    <a:bodyPr/>
    <a:lstStyle/>
    <a:p>
      <a:pPr>
        <a:defRPr sz="1199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uk-UA"/>
    </a:p>
  </c:txPr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uk-UA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15"/>
      <c:rotY val="0"/>
      <c:rAngAx val="0"/>
      <c:perspective val="0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0.18806509945750452"/>
          <c:y val="0.30882352941176472"/>
          <c:w val="0.65280289330922248"/>
          <c:h val="0.42058823529411765"/>
        </c:manualLayout>
      </c:layout>
      <c:pie3DChart>
        <c:varyColors val="1"/>
        <c:ser>
          <c:idx val="0"/>
          <c:order val="0"/>
          <c:tx>
            <c:strRef>
              <c:f>Sheet1!$A$2</c:f>
              <c:strCache>
                <c:ptCount val="1"/>
              </c:strCache>
            </c:strRef>
          </c:tx>
          <c:spPr>
            <a:solidFill>
              <a:srgbClr val="9999FF"/>
            </a:solidFill>
            <a:ln w="12686">
              <a:solidFill>
                <a:srgbClr val="000000"/>
              </a:solidFill>
              <a:prstDash val="solid"/>
            </a:ln>
          </c:spPr>
          <c:explosion val="3"/>
          <c:dPt>
            <c:idx val="0"/>
            <c:bubble3D val="0"/>
            <c:spPr>
              <a:gradFill rotWithShape="0">
                <a:gsLst>
                  <a:gs pos="0">
                    <a:srgbClr xmlns:mc="http://schemas.openxmlformats.org/markup-compatibility/2006" xmlns:a14="http://schemas.microsoft.com/office/drawing/2010/main" val="010206" mc:Ignorable="a14" a14:legacySpreadsheetColorIndex="48">
                      <a:gamma/>
                      <a:shade val="46275"/>
                      <a:invGamma/>
                    </a:srgbClr>
                  </a:gs>
                  <a:gs pos="50000">
                    <a:srgbClr xmlns:mc="http://schemas.openxmlformats.org/markup-compatibility/2006" xmlns:a14="http://schemas.microsoft.com/office/drawing/2010/main" val="3366FF" mc:Ignorable="a14" a14:legacySpreadsheetColorIndex="48"/>
                  </a:gs>
                  <a:gs pos="100000">
                    <a:srgbClr xmlns:mc="http://schemas.openxmlformats.org/markup-compatibility/2006" xmlns:a14="http://schemas.microsoft.com/office/drawing/2010/main" val="010206" mc:Ignorable="a14" a14:legacySpreadsheetColorIndex="48">
                      <a:gamma/>
                      <a:shade val="46275"/>
                      <a:invGamma/>
                    </a:srgbClr>
                  </a:gs>
                </a:gsLst>
                <a:lin ang="5400000" scaled="1"/>
              </a:gradFill>
              <a:ln w="12686">
                <a:solidFill>
                  <a:srgbClr val="00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0-B7BE-45AC-B56F-37E4DE1ADAA6}"/>
              </c:ext>
            </c:extLst>
          </c:dPt>
          <c:dPt>
            <c:idx val="1"/>
            <c:bubble3D val="0"/>
            <c:spPr>
              <a:gradFill rotWithShape="0">
                <a:gsLst>
                  <a:gs pos="0">
                    <a:srgbClr xmlns:mc="http://schemas.openxmlformats.org/markup-compatibility/2006" xmlns:a14="http://schemas.microsoft.com/office/drawing/2010/main" val="040306" mc:Ignorable="a14" a14:legacySpreadsheetColorIndex="46">
                      <a:gamma/>
                      <a:shade val="46275"/>
                      <a:invGamma/>
                    </a:srgbClr>
                  </a:gs>
                  <a:gs pos="50000">
                    <a:srgbClr xmlns:mc="http://schemas.openxmlformats.org/markup-compatibility/2006" xmlns:a14="http://schemas.microsoft.com/office/drawing/2010/main" val="CC99FF" mc:Ignorable="a14" a14:legacySpreadsheetColorIndex="46"/>
                  </a:gs>
                  <a:gs pos="100000">
                    <a:srgbClr xmlns:mc="http://schemas.openxmlformats.org/markup-compatibility/2006" xmlns:a14="http://schemas.microsoft.com/office/drawing/2010/main" val="040306" mc:Ignorable="a14" a14:legacySpreadsheetColorIndex="46">
                      <a:gamma/>
                      <a:shade val="46275"/>
                      <a:invGamma/>
                    </a:srgbClr>
                  </a:gs>
                </a:gsLst>
                <a:lin ang="5400000" scaled="1"/>
              </a:gradFill>
              <a:ln w="12686">
                <a:solidFill>
                  <a:srgbClr val="00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1-B7BE-45AC-B56F-37E4DE1ADAA6}"/>
              </c:ext>
            </c:extLst>
          </c:dPt>
          <c:dPt>
            <c:idx val="2"/>
            <c:bubble3D val="0"/>
            <c:spPr>
              <a:gradFill rotWithShape="0">
                <a:gsLst>
                  <a:gs pos="0">
                    <a:srgbClr xmlns:mc="http://schemas.openxmlformats.org/markup-compatibility/2006" xmlns:a14="http://schemas.microsoft.com/office/drawing/2010/main" val="060600" mc:Ignorable="a14" a14:legacySpreadsheetColorIndex="13">
                      <a:gamma/>
                      <a:shade val="46275"/>
                      <a:invGamma/>
                    </a:srgbClr>
                  </a:gs>
                  <a:gs pos="100000">
                    <a:srgbClr xmlns:mc="http://schemas.openxmlformats.org/markup-compatibility/2006" xmlns:a14="http://schemas.microsoft.com/office/drawing/2010/main" val="FFFF00" mc:Ignorable="a14" a14:legacySpreadsheetColorIndex="13"/>
                  </a:gs>
                </a:gsLst>
                <a:lin ang="5400000" scaled="1"/>
              </a:gradFill>
              <a:ln w="12686">
                <a:solidFill>
                  <a:srgbClr val="00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2-B7BE-45AC-B56F-37E4DE1ADAA6}"/>
              </c:ext>
            </c:extLst>
          </c:dPt>
          <c:dLbls>
            <c:dLbl>
              <c:idx val="0"/>
              <c:layout>
                <c:manualLayout>
                  <c:x val="4.1884575857256579E-2"/>
                  <c:y val="0.12375409343181942"/>
                </c:manualLayout>
              </c:layout>
              <c:tx>
                <c:rich>
                  <a:bodyPr/>
                  <a:lstStyle/>
                  <a:p>
                    <a:pPr>
                      <a:defRPr sz="1199" b="1" i="0" u="none" strike="noStrike" baseline="0">
                        <a:solidFill>
                          <a:srgbClr val="000000"/>
                        </a:solidFill>
                        <a:latin typeface="Times New Roman"/>
                        <a:ea typeface="Times New Roman"/>
                        <a:cs typeface="Times New Roman"/>
                      </a:defRPr>
                    </a:pPr>
                    <a:r>
                      <a:rPr lang="uk-UA"/>
                      <a:t>Дирекція технічна з РМ;
28; 85%</a:t>
                    </a:r>
                  </a:p>
                </c:rich>
              </c:tx>
              <c:spPr>
                <a:noFill/>
                <a:ln w="25372">
                  <a:noFill/>
                </a:ln>
              </c:spPr>
              <c:dLblPos val="bestFit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0-B7BE-45AC-B56F-37E4DE1ADAA6}"/>
                </c:ext>
              </c:extLst>
            </c:dLbl>
            <c:dLbl>
              <c:idx val="1"/>
              <c:tx>
                <c:rich>
                  <a:bodyPr/>
                  <a:lstStyle/>
                  <a:p>
                    <a:pPr>
                      <a:defRPr sz="1199" b="1" i="0" u="none" strike="noStrike" baseline="0">
                        <a:solidFill>
                          <a:srgbClr val="000000"/>
                        </a:solidFill>
                        <a:latin typeface="Times New Roman"/>
                        <a:ea typeface="Times New Roman"/>
                        <a:cs typeface="Times New Roman"/>
                      </a:defRPr>
                    </a:pPr>
                    <a:r>
                      <a:rPr lang="uk-UA"/>
                      <a:t>Дирекція комерційна;
 1; 3%</a:t>
                    </a:r>
                  </a:p>
                </c:rich>
              </c:tx>
              <c:spPr>
                <a:noFill/>
                <a:ln w="25372">
                  <a:noFill/>
                </a:ln>
              </c:spPr>
              <c:dLblPos val="bestFit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B7BE-45AC-B56F-37E4DE1ADAA6}"/>
                </c:ext>
              </c:extLst>
            </c:dLbl>
            <c:dLbl>
              <c:idx val="2"/>
              <c:layout>
                <c:manualLayout>
                  <c:x val="1.9518232032407212E-2"/>
                  <c:y val="-0.15253009328201994"/>
                </c:manualLayout>
              </c:layout>
              <c:numFmt formatCode="0%" sourceLinked="0"/>
              <c:spPr>
                <a:noFill/>
                <a:ln w="25372">
                  <a:noFill/>
                </a:ln>
              </c:spPr>
              <c:txPr>
                <a:bodyPr/>
                <a:lstStyle/>
                <a:p>
                  <a:pPr>
                    <a:defRPr sz="1199" b="1" i="0" u="none" strike="noStrike" baseline="0">
                      <a:solidFill>
                        <a:srgbClr val="000000"/>
                      </a:solidFill>
                      <a:latin typeface="Times New Roman"/>
                      <a:ea typeface="Times New Roman"/>
                      <a:cs typeface="Times New Roman"/>
                    </a:defRPr>
                  </a:pPr>
                  <a:endParaRPr lang="uk-UA"/>
                </a:p>
              </c:txPr>
              <c:dLblPos val="bestFit"/>
              <c:showLegendKey val="0"/>
              <c:showVal val="1"/>
              <c:showCatName val="1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2-B7BE-45AC-B56F-37E4DE1ADAA6}"/>
                </c:ext>
              </c:extLst>
            </c:dLbl>
            <c:dLbl>
              <c:idx val="3"/>
              <c:numFmt formatCode="0%" sourceLinked="0"/>
              <c:spPr>
                <a:noFill/>
                <a:ln w="25372">
                  <a:noFill/>
                </a:ln>
              </c:spPr>
              <c:txPr>
                <a:bodyPr/>
                <a:lstStyle/>
                <a:p>
                  <a:pPr>
                    <a:defRPr sz="1174" b="1" i="0" u="none" strike="noStrike" baseline="0">
                      <a:solidFill>
                        <a:srgbClr val="000000"/>
                      </a:solidFill>
                      <a:latin typeface="Times New Roman"/>
                      <a:ea typeface="Times New Roman"/>
                      <a:cs typeface="Times New Roman"/>
                    </a:defRPr>
                  </a:pPr>
                  <a:endParaRPr lang="uk-UA"/>
                </a:p>
              </c:txPr>
              <c:showLegendKey val="0"/>
              <c:showVal val="1"/>
              <c:showCatName val="1"/>
              <c:showSerName val="0"/>
              <c:showPercent val="1"/>
              <c:showBubbleSize val="0"/>
              <c:extLst>
                <c:ext xmlns:c16="http://schemas.microsoft.com/office/drawing/2014/chart" uri="{C3380CC4-5D6E-409C-BE32-E72D297353CC}">
                  <c16:uniqueId val="{00000003-B7BE-45AC-B56F-37E4DE1ADAA6}"/>
                </c:ext>
              </c:extLst>
            </c:dLbl>
            <c:numFmt formatCode="0%" sourceLinked="0"/>
            <c:spPr>
              <a:noFill/>
              <a:ln w="25372">
                <a:noFill/>
              </a:ln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1199" b="1" i="0" u="none" strike="noStrike" baseline="0">
                    <a:solidFill>
                      <a:srgbClr val="000000"/>
                    </a:solidFill>
                    <a:latin typeface="Times New Roman"/>
                    <a:ea typeface="Times New Roman"/>
                    <a:cs typeface="Times New Roman"/>
                  </a:defRPr>
                </a:pPr>
                <a:endParaRPr lang="uk-UA"/>
              </a:p>
            </c:txPr>
            <c:showLegendKey val="0"/>
            <c:showVal val="1"/>
            <c:showCatName val="1"/>
            <c:showSerName val="0"/>
            <c:showPercent val="1"/>
            <c:showBubbleSize val="0"/>
            <c:showLeaderLines val="1"/>
            <c:extLst>
              <c:ext xmlns:c15="http://schemas.microsoft.com/office/drawing/2012/chart" uri="{CE6537A1-D6FC-4f65-9D91-7224C49458BB}"/>
            </c:extLst>
          </c:dLbls>
          <c:cat>
            <c:strRef>
              <c:f>Sheet1!$B$1:$D$1</c:f>
              <c:strCache>
                <c:ptCount val="3"/>
                <c:pt idx="0">
                  <c:v>Дирекція технічна з РМ;</c:v>
                </c:pt>
                <c:pt idx="1">
                  <c:v>Дирекція комерційна;</c:v>
                </c:pt>
                <c:pt idx="2">
                  <c:v>Дирекція технічна з обліку ел.ен.</c:v>
                </c:pt>
              </c:strCache>
            </c:strRef>
          </c:cat>
          <c:val>
            <c:numRef>
              <c:f>Sheet1!$B$2:$D$2</c:f>
              <c:numCache>
                <c:formatCode>General</c:formatCode>
                <c:ptCount val="3"/>
                <c:pt idx="0">
                  <c:v>28</c:v>
                </c:pt>
                <c:pt idx="1">
                  <c:v>1</c:v>
                </c:pt>
                <c:pt idx="2">
                  <c:v>4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4-B7BE-45AC-B56F-37E4DE1ADAA6}"/>
            </c:ext>
          </c:extLst>
        </c:ser>
        <c:ser>
          <c:idx val="1"/>
          <c:order val="1"/>
          <c:tx>
            <c:strRef>
              <c:f>Sheet1!$A$3</c:f>
              <c:strCache>
                <c:ptCount val="1"/>
              </c:strCache>
            </c:strRef>
          </c:tx>
          <c:spPr>
            <a:solidFill>
              <a:srgbClr val="993366"/>
            </a:solidFill>
            <a:ln w="12686">
              <a:solidFill>
                <a:srgbClr val="000000"/>
              </a:solidFill>
              <a:prstDash val="solid"/>
            </a:ln>
          </c:spPr>
          <c:explosion val="3"/>
          <c:dPt>
            <c:idx val="0"/>
            <c:bubble3D val="0"/>
            <c:spPr>
              <a:solidFill>
                <a:srgbClr val="9999FF"/>
              </a:solidFill>
              <a:ln w="12686">
                <a:solidFill>
                  <a:srgbClr val="00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5-B7BE-45AC-B56F-37E4DE1ADAA6}"/>
              </c:ext>
            </c:extLst>
          </c:dPt>
          <c:dPt>
            <c:idx val="1"/>
            <c:bubble3D val="0"/>
            <c:extLst>
              <c:ext xmlns:c16="http://schemas.microsoft.com/office/drawing/2014/chart" uri="{C3380CC4-5D6E-409C-BE32-E72D297353CC}">
                <c16:uniqueId val="{00000006-B7BE-45AC-B56F-37E4DE1ADAA6}"/>
              </c:ext>
            </c:extLst>
          </c:dPt>
          <c:dPt>
            <c:idx val="2"/>
            <c:bubble3D val="0"/>
            <c:spPr>
              <a:solidFill>
                <a:srgbClr val="FFFFCC"/>
              </a:solidFill>
              <a:ln w="12686">
                <a:solidFill>
                  <a:srgbClr val="00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7-B7BE-45AC-B56F-37E4DE1ADAA6}"/>
              </c:ext>
            </c:extLst>
          </c:dPt>
          <c:dLbls>
            <c:numFmt formatCode="0%" sourceLinked="0"/>
            <c:spPr>
              <a:noFill/>
              <a:ln w="25372">
                <a:noFill/>
              </a:ln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1174" b="1" i="0" u="none" strike="noStrike" baseline="0">
                    <a:solidFill>
                      <a:srgbClr val="000000"/>
                    </a:solidFill>
                    <a:latin typeface="Times New Roman"/>
                    <a:ea typeface="Times New Roman"/>
                    <a:cs typeface="Times New Roman"/>
                  </a:defRPr>
                </a:pPr>
                <a:endParaRPr lang="uk-UA"/>
              </a:p>
            </c:txPr>
            <c:showLegendKey val="0"/>
            <c:showVal val="1"/>
            <c:showCatName val="1"/>
            <c:showSerName val="0"/>
            <c:showPercent val="1"/>
            <c:showBubbleSize val="0"/>
            <c:showLeaderLines val="1"/>
            <c:extLst>
              <c:ext xmlns:c15="http://schemas.microsoft.com/office/drawing/2012/chart" uri="{CE6537A1-D6FC-4f65-9D91-7224C49458BB}"/>
            </c:extLst>
          </c:dLbls>
          <c:cat>
            <c:strRef>
              <c:f>Sheet1!$B$1:$D$1</c:f>
              <c:strCache>
                <c:ptCount val="3"/>
                <c:pt idx="0">
                  <c:v>Дирекція технічна з РМ;</c:v>
                </c:pt>
                <c:pt idx="1">
                  <c:v>Дирекція комерційна;</c:v>
                </c:pt>
                <c:pt idx="2">
                  <c:v>Дирекція технічна з обліку ел.ен.</c:v>
                </c:pt>
              </c:strCache>
            </c:strRef>
          </c:cat>
          <c:val>
            <c:numRef>
              <c:f>Sheet1!$B$3:$D$3</c:f>
              <c:numCache>
                <c:formatCode>General</c:formatCode>
                <c:ptCount val="3"/>
              </c:numCache>
            </c:numRef>
          </c:val>
          <c:extLst>
            <c:ext xmlns:c16="http://schemas.microsoft.com/office/drawing/2014/chart" uri="{C3380CC4-5D6E-409C-BE32-E72D297353CC}">
              <c16:uniqueId val="{00000008-B7BE-45AC-B56F-37E4DE1ADAA6}"/>
            </c:ext>
          </c:extLst>
        </c:ser>
        <c:ser>
          <c:idx val="3"/>
          <c:order val="2"/>
          <c:tx>
            <c:strRef>
              <c:f>Sheet1!$A$20</c:f>
              <c:strCache>
                <c:ptCount val="1"/>
              </c:strCache>
            </c:strRef>
          </c:tx>
          <c:spPr>
            <a:solidFill>
              <a:srgbClr val="CCFFFF"/>
            </a:solidFill>
            <a:ln w="12686">
              <a:solidFill>
                <a:srgbClr val="000000"/>
              </a:solidFill>
              <a:prstDash val="solid"/>
            </a:ln>
          </c:spPr>
          <c:explosion val="3"/>
          <c:dPt>
            <c:idx val="0"/>
            <c:bubble3D val="0"/>
            <c:spPr>
              <a:solidFill>
                <a:srgbClr val="9999FF"/>
              </a:solidFill>
              <a:ln w="12686">
                <a:solidFill>
                  <a:srgbClr val="00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9-B7BE-45AC-B56F-37E4DE1ADAA6}"/>
              </c:ext>
            </c:extLst>
          </c:dPt>
          <c:dPt>
            <c:idx val="1"/>
            <c:bubble3D val="0"/>
            <c:spPr>
              <a:solidFill>
                <a:srgbClr val="993366"/>
              </a:solidFill>
              <a:ln w="12686">
                <a:solidFill>
                  <a:srgbClr val="00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A-B7BE-45AC-B56F-37E4DE1ADAA6}"/>
              </c:ext>
            </c:extLst>
          </c:dPt>
          <c:dPt>
            <c:idx val="2"/>
            <c:bubble3D val="0"/>
            <c:spPr>
              <a:solidFill>
                <a:srgbClr val="FFFFCC"/>
              </a:solidFill>
              <a:ln w="12686">
                <a:solidFill>
                  <a:srgbClr val="00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B-B7BE-45AC-B56F-37E4DE1ADAA6}"/>
              </c:ext>
            </c:extLst>
          </c:dPt>
          <c:dLbls>
            <c:numFmt formatCode="0%" sourceLinked="0"/>
            <c:spPr>
              <a:noFill/>
              <a:ln w="25372">
                <a:noFill/>
              </a:ln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1174" b="1" i="0" u="none" strike="noStrike" baseline="0">
                    <a:solidFill>
                      <a:srgbClr val="000000"/>
                    </a:solidFill>
                    <a:latin typeface="Times New Roman"/>
                    <a:ea typeface="Times New Roman"/>
                    <a:cs typeface="Times New Roman"/>
                  </a:defRPr>
                </a:pPr>
                <a:endParaRPr lang="uk-UA"/>
              </a:p>
            </c:txPr>
            <c:showLegendKey val="0"/>
            <c:showVal val="1"/>
            <c:showCatName val="1"/>
            <c:showSerName val="0"/>
            <c:showPercent val="1"/>
            <c:showBubbleSize val="0"/>
            <c:showLeaderLines val="1"/>
            <c:extLst>
              <c:ext xmlns:c15="http://schemas.microsoft.com/office/drawing/2012/chart" uri="{CE6537A1-D6FC-4f65-9D91-7224C49458BB}"/>
            </c:extLst>
          </c:dLbls>
          <c:cat>
            <c:strRef>
              <c:f>Sheet1!$B$1:$D$1</c:f>
              <c:strCache>
                <c:ptCount val="3"/>
                <c:pt idx="0">
                  <c:v>Дирекція технічна з РМ;</c:v>
                </c:pt>
                <c:pt idx="1">
                  <c:v>Дирекція комерційна;</c:v>
                </c:pt>
                <c:pt idx="2">
                  <c:v>Дирекція технічна з обліку ел.ен.</c:v>
                </c:pt>
              </c:strCache>
            </c:strRef>
          </c:cat>
          <c:val>
            <c:numRef>
              <c:f>Sheet1!$B$20:$D$20</c:f>
              <c:numCache>
                <c:formatCode>General</c:formatCode>
                <c:ptCount val="3"/>
              </c:numCache>
            </c:numRef>
          </c:val>
          <c:extLst>
            <c:ext xmlns:c16="http://schemas.microsoft.com/office/drawing/2014/chart" uri="{C3380CC4-5D6E-409C-BE32-E72D297353CC}">
              <c16:uniqueId val="{0000000C-B7BE-45AC-B56F-37E4DE1ADAA6}"/>
            </c:ext>
          </c:extLst>
        </c:ser>
        <c:dLbls>
          <c:showLegendKey val="0"/>
          <c:showVal val="1"/>
          <c:showCatName val="1"/>
          <c:showSerName val="0"/>
          <c:showPercent val="1"/>
          <c:showBubbleSize val="0"/>
          <c:showLeaderLines val="1"/>
        </c:dLbls>
      </c:pie3DChart>
      <c:spPr>
        <a:noFill/>
        <a:ln w="25372">
          <a:noFill/>
        </a:ln>
      </c:spPr>
    </c:plotArea>
    <c:plotVisOnly val="1"/>
    <c:dispBlanksAs val="zero"/>
    <c:showDLblsOverMax val="0"/>
  </c:chart>
  <c:spPr>
    <a:noFill/>
    <a:ln>
      <a:noFill/>
    </a:ln>
  </c:spPr>
  <c:txPr>
    <a:bodyPr/>
    <a:lstStyle/>
    <a:p>
      <a:pPr>
        <a:defRPr sz="1174" b="1" i="0" u="none" strike="noStrike" baseline="0">
          <a:solidFill>
            <a:srgbClr val="000000"/>
          </a:solidFill>
          <a:latin typeface="Times New Roman"/>
          <a:ea typeface="Times New Roman"/>
          <a:cs typeface="Times New Roman"/>
        </a:defRPr>
      </a:pPr>
      <a:endParaRPr lang="uk-UA"/>
    </a:p>
  </c:txPr>
  <c:externalData r:id="rId1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uk-UA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15"/>
      <c:rotY val="0"/>
      <c:rAngAx val="0"/>
      <c:perspective val="0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0.26551226551226553"/>
          <c:y val="0.3723849372384937"/>
          <c:w val="0.5757575757575758"/>
          <c:h val="0.33054393305439328"/>
        </c:manualLayout>
      </c:layout>
      <c:pie3DChart>
        <c:varyColors val="1"/>
        <c:ser>
          <c:idx val="0"/>
          <c:order val="0"/>
          <c:tx>
            <c:strRef>
              <c:f>Sheet1!$A$2</c:f>
              <c:strCache>
                <c:ptCount val="1"/>
                <c:pt idx="0">
                  <c:v>Технічні звернення</c:v>
                </c:pt>
              </c:strCache>
            </c:strRef>
          </c:tx>
          <c:spPr>
            <a:solidFill>
              <a:srgbClr val="9999FF"/>
            </a:solidFill>
            <a:ln w="12688">
              <a:solidFill>
                <a:srgbClr val="000000"/>
              </a:solidFill>
              <a:prstDash val="solid"/>
            </a:ln>
          </c:spPr>
          <c:dPt>
            <c:idx val="0"/>
            <c:bubble3D val="0"/>
            <c:extLst>
              <c:ext xmlns:c16="http://schemas.microsoft.com/office/drawing/2014/chart" uri="{C3380CC4-5D6E-409C-BE32-E72D297353CC}">
                <c16:uniqueId val="{00000000-9A4F-4616-8A29-8AFB72438754}"/>
              </c:ext>
            </c:extLst>
          </c:dPt>
          <c:dPt>
            <c:idx val="1"/>
            <c:bubble3D val="0"/>
            <c:spPr>
              <a:solidFill>
                <a:srgbClr val="FF6600"/>
              </a:solidFill>
              <a:ln w="12688">
                <a:solidFill>
                  <a:srgbClr val="00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1-9A4F-4616-8A29-8AFB72438754}"/>
              </c:ext>
            </c:extLst>
          </c:dPt>
          <c:dPt>
            <c:idx val="2"/>
            <c:bubble3D val="0"/>
            <c:spPr>
              <a:solidFill>
                <a:srgbClr val="FFFFCC"/>
              </a:solidFill>
              <a:ln w="12688">
                <a:solidFill>
                  <a:srgbClr val="00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2-9A4F-4616-8A29-8AFB72438754}"/>
              </c:ext>
            </c:extLst>
          </c:dPt>
          <c:dPt>
            <c:idx val="3"/>
            <c:bubble3D val="0"/>
            <c:spPr>
              <a:solidFill>
                <a:srgbClr val="CCFFFF"/>
              </a:solidFill>
              <a:ln w="12688">
                <a:solidFill>
                  <a:srgbClr val="00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3-9A4F-4616-8A29-8AFB72438754}"/>
              </c:ext>
            </c:extLst>
          </c:dPt>
          <c:dPt>
            <c:idx val="4"/>
            <c:bubble3D val="0"/>
            <c:spPr>
              <a:solidFill>
                <a:srgbClr val="660066"/>
              </a:solidFill>
              <a:ln w="12688">
                <a:solidFill>
                  <a:srgbClr val="00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4-9A4F-4616-8A29-8AFB72438754}"/>
              </c:ext>
            </c:extLst>
          </c:dPt>
          <c:dPt>
            <c:idx val="5"/>
            <c:bubble3D val="0"/>
            <c:spPr>
              <a:solidFill>
                <a:srgbClr val="FF8080"/>
              </a:solidFill>
              <a:ln w="12688">
                <a:solidFill>
                  <a:srgbClr val="00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5-9A4F-4616-8A29-8AFB72438754}"/>
              </c:ext>
            </c:extLst>
          </c:dPt>
          <c:dPt>
            <c:idx val="6"/>
            <c:bubble3D val="0"/>
            <c:spPr>
              <a:solidFill>
                <a:srgbClr val="0066CC"/>
              </a:solidFill>
              <a:ln w="12688">
                <a:solidFill>
                  <a:srgbClr val="00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6-9A4F-4616-8A29-8AFB72438754}"/>
              </c:ext>
            </c:extLst>
          </c:dPt>
          <c:dPt>
            <c:idx val="7"/>
            <c:bubble3D val="0"/>
            <c:spPr>
              <a:solidFill>
                <a:srgbClr val="CCFFCC"/>
              </a:solidFill>
              <a:ln w="12688">
                <a:solidFill>
                  <a:srgbClr val="00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7-9A4F-4616-8A29-8AFB72438754}"/>
              </c:ext>
            </c:extLst>
          </c:dPt>
          <c:dPt>
            <c:idx val="8"/>
            <c:bubble3D val="0"/>
            <c:spPr>
              <a:solidFill>
                <a:srgbClr val="000080"/>
              </a:solidFill>
              <a:ln w="12688">
                <a:solidFill>
                  <a:srgbClr val="00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8-9A4F-4616-8A29-8AFB72438754}"/>
              </c:ext>
            </c:extLst>
          </c:dPt>
          <c:dPt>
            <c:idx val="9"/>
            <c:bubble3D val="0"/>
            <c:spPr>
              <a:solidFill>
                <a:srgbClr val="FF99CC"/>
              </a:solidFill>
              <a:ln w="12688">
                <a:solidFill>
                  <a:srgbClr val="00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9-9A4F-4616-8A29-8AFB72438754}"/>
              </c:ext>
            </c:extLst>
          </c:dPt>
          <c:dLbls>
            <c:dLbl>
              <c:idx val="0"/>
              <c:layout>
                <c:manualLayout>
                  <c:x val="-3.5415418540159505E-2"/>
                  <c:y val="-0.13935722123303868"/>
                </c:manualLayout>
              </c:layout>
              <c:tx>
                <c:rich>
                  <a:bodyPr/>
                  <a:lstStyle/>
                  <a:p>
                    <a:pPr>
                      <a:defRPr sz="1199" b="1" i="0" u="none" strike="noStrike" baseline="0">
                        <a:solidFill>
                          <a:srgbClr val="000000"/>
                        </a:solidFill>
                        <a:latin typeface="Times New Roman"/>
                        <a:ea typeface="Times New Roman"/>
                        <a:cs typeface="Times New Roman"/>
                      </a:defRPr>
                    </a:pPr>
                    <a:r>
                      <a:rPr lang="uk-UA"/>
                      <a:t>Перерви в е/постач; 
6; 21%</a:t>
                    </a:r>
                  </a:p>
                </c:rich>
              </c:tx>
              <c:spPr>
                <a:noFill/>
                <a:ln w="25375">
                  <a:noFill/>
                </a:ln>
              </c:spPr>
              <c:dLblPos val="bestFit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0-9A4F-4616-8A29-8AFB72438754}"/>
                </c:ext>
              </c:extLst>
            </c:dLbl>
            <c:dLbl>
              <c:idx val="1"/>
              <c:layout>
                <c:manualLayout>
                  <c:x val="3.0638915512516407E-3"/>
                  <c:y val="-0.17751677198507232"/>
                </c:manualLayout>
              </c:layout>
              <c:tx>
                <c:rich>
                  <a:bodyPr/>
                  <a:lstStyle/>
                  <a:p>
                    <a:pPr>
                      <a:defRPr sz="1199" b="1" i="0" u="none" strike="noStrike" baseline="0">
                        <a:solidFill>
                          <a:srgbClr val="000000"/>
                        </a:solidFill>
                        <a:latin typeface="Times New Roman"/>
                        <a:ea typeface="Times New Roman"/>
                        <a:cs typeface="Times New Roman"/>
                      </a:defRPr>
                    </a:pPr>
                    <a:r>
                      <a:rPr lang="uk-UA"/>
                      <a:t>Електрифікація новобудов; 
3; 11%</a:t>
                    </a:r>
                  </a:p>
                </c:rich>
              </c:tx>
              <c:spPr>
                <a:noFill/>
                <a:ln w="25375">
                  <a:noFill/>
                </a:ln>
              </c:spPr>
              <c:dLblPos val="bestFit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9A4F-4616-8A29-8AFB72438754}"/>
                </c:ext>
              </c:extLst>
            </c:dLbl>
            <c:dLbl>
              <c:idx val="2"/>
              <c:layout>
                <c:manualLayout>
                  <c:x val="8.4974015516908752E-3"/>
                  <c:y val="8.8662600267550573E-2"/>
                </c:manualLayout>
              </c:layout>
              <c:numFmt formatCode="0%" sourceLinked="0"/>
              <c:spPr>
                <a:noFill/>
                <a:ln w="25375">
                  <a:noFill/>
                </a:ln>
              </c:spPr>
              <c:txPr>
                <a:bodyPr/>
                <a:lstStyle/>
                <a:p>
                  <a:pPr>
                    <a:defRPr sz="1199" b="1" i="0" u="none" strike="noStrike" baseline="0">
                      <a:solidFill>
                        <a:srgbClr val="000000"/>
                      </a:solidFill>
                      <a:latin typeface="Times New Roman"/>
                      <a:ea typeface="Times New Roman"/>
                      <a:cs typeface="Times New Roman"/>
                    </a:defRPr>
                  </a:pPr>
                  <a:endParaRPr lang="uk-UA"/>
                </a:p>
              </c:txPr>
              <c:dLblPos val="bestFit"/>
              <c:showLegendKey val="0"/>
              <c:showVal val="1"/>
              <c:showCatName val="1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2-9A4F-4616-8A29-8AFB72438754}"/>
                </c:ext>
              </c:extLst>
            </c:dLbl>
            <c:dLbl>
              <c:idx val="3"/>
              <c:delet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3-9A4F-4616-8A29-8AFB72438754}"/>
                </c:ext>
              </c:extLst>
            </c:dLbl>
            <c:dLbl>
              <c:idx val="4"/>
              <c:layout>
                <c:manualLayout>
                  <c:x val="-2.9728080834587223E-2"/>
                  <c:y val="0.12405762165248169"/>
                </c:manualLayout>
              </c:layout>
              <c:tx>
                <c:rich>
                  <a:bodyPr/>
                  <a:lstStyle/>
                  <a:p>
                    <a:pPr>
                      <a:defRPr sz="1199" b="1" i="0" u="none" strike="noStrike" baseline="0">
                        <a:solidFill>
                          <a:srgbClr val="000000"/>
                        </a:solidFill>
                        <a:latin typeface="Times New Roman"/>
                        <a:ea typeface="Times New Roman"/>
                        <a:cs typeface="Times New Roman"/>
                      </a:defRPr>
                    </a:pPr>
                    <a:r>
                      <a:rPr lang="uk-UA"/>
                      <a:t>Перенести ПЛ;
 2; 7%</a:t>
                    </a:r>
                  </a:p>
                </c:rich>
              </c:tx>
              <c:spPr>
                <a:noFill/>
                <a:ln w="25375">
                  <a:noFill/>
                </a:ln>
              </c:spPr>
              <c:dLblPos val="bestFit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4-9A4F-4616-8A29-8AFB72438754}"/>
                </c:ext>
              </c:extLst>
            </c:dLbl>
            <c:dLbl>
              <c:idx val="5"/>
              <c:layout>
                <c:manualLayout>
                  <c:x val="9.0506338330631486E-4"/>
                  <c:y val="9.0345477657267859E-2"/>
                </c:manualLayout>
              </c:layout>
              <c:tx>
                <c:rich>
                  <a:bodyPr/>
                  <a:lstStyle/>
                  <a:p>
                    <a:pPr>
                      <a:defRPr sz="1199" b="1" i="0" u="none" strike="noStrike" baseline="0">
                        <a:solidFill>
                          <a:srgbClr val="000000"/>
                        </a:solidFill>
                        <a:latin typeface="Times New Roman"/>
                        <a:ea typeface="Times New Roman"/>
                        <a:cs typeface="Times New Roman"/>
                      </a:defRPr>
                    </a:pPr>
                    <a:r>
                      <a:rPr lang="uk-UA"/>
                      <a:t>Надати інформацію;
 2; 7%</a:t>
                    </a:r>
                  </a:p>
                </c:rich>
              </c:tx>
              <c:spPr>
                <a:noFill/>
                <a:ln w="25375">
                  <a:noFill/>
                </a:ln>
              </c:spPr>
              <c:dLblPos val="bestFit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5-9A4F-4616-8A29-8AFB72438754}"/>
                </c:ext>
              </c:extLst>
            </c:dLbl>
            <c:dLbl>
              <c:idx val="6"/>
              <c:layout>
                <c:manualLayout>
                  <c:x val="-3.044823134338262E-2"/>
                  <c:y val="8.3990498887899889E-2"/>
                </c:manualLayout>
              </c:layout>
              <c:tx>
                <c:rich>
                  <a:bodyPr/>
                  <a:lstStyle/>
                  <a:p>
                    <a:pPr>
                      <a:defRPr sz="1199" b="1" i="0" u="none" strike="noStrike" baseline="0">
                        <a:solidFill>
                          <a:srgbClr val="000000"/>
                        </a:solidFill>
                        <a:latin typeface="Times New Roman"/>
                        <a:ea typeface="Times New Roman"/>
                        <a:cs typeface="Times New Roman"/>
                      </a:defRPr>
                    </a:pPr>
                    <a:r>
                      <a:rPr lang="uk-UA"/>
                      <a:t>Аварійні опори; 
5; 18%</a:t>
                    </a:r>
                  </a:p>
                </c:rich>
              </c:tx>
              <c:spPr>
                <a:noFill/>
                <a:ln w="25375">
                  <a:noFill/>
                </a:ln>
              </c:spPr>
              <c:dLblPos val="bestFit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6-9A4F-4616-8A29-8AFB72438754}"/>
                </c:ext>
              </c:extLst>
            </c:dLbl>
            <c:dLbl>
              <c:idx val="7"/>
              <c:layout>
                <c:manualLayout>
                  <c:x val="-5.269442574042657E-2"/>
                  <c:y val="-6.0361960269591175E-2"/>
                </c:manualLayout>
              </c:layout>
              <c:tx>
                <c:rich>
                  <a:bodyPr/>
                  <a:lstStyle/>
                  <a:p>
                    <a:pPr>
                      <a:defRPr sz="1199" b="1" i="0" u="none" strike="noStrike" baseline="0">
                        <a:solidFill>
                          <a:srgbClr val="000000"/>
                        </a:solidFill>
                        <a:latin typeface="Times New Roman"/>
                        <a:ea typeface="Times New Roman"/>
                        <a:cs typeface="Times New Roman"/>
                      </a:defRPr>
                    </a:pPr>
                    <a:r>
                      <a:rPr lang="uk-UA"/>
                      <a:t>Скарги на працівників; 
1; 4%</a:t>
                    </a:r>
                  </a:p>
                </c:rich>
              </c:tx>
              <c:spPr>
                <a:noFill/>
                <a:ln w="25375">
                  <a:noFill/>
                </a:ln>
              </c:spPr>
              <c:dLblPos val="bestFit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7-9A4F-4616-8A29-8AFB72438754}"/>
                </c:ext>
              </c:extLst>
            </c:dLbl>
            <c:dLbl>
              <c:idx val="8"/>
              <c:delet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8-9A4F-4616-8A29-8AFB72438754}"/>
                </c:ext>
              </c:extLst>
            </c:dLbl>
            <c:dLbl>
              <c:idx val="9"/>
              <c:layout>
                <c:manualLayout>
                  <c:x val="1.5729192521567459E-3"/>
                  <c:y val="-0.19044363305595524"/>
                </c:manualLayout>
              </c:layout>
              <c:numFmt formatCode="0%" sourceLinked="0"/>
              <c:spPr>
                <a:noFill/>
                <a:ln w="25375">
                  <a:noFill/>
                </a:ln>
              </c:spPr>
              <c:txPr>
                <a:bodyPr/>
                <a:lstStyle/>
                <a:p>
                  <a:pPr>
                    <a:defRPr sz="1199" b="1" i="0" u="none" strike="noStrike" baseline="0">
                      <a:solidFill>
                        <a:srgbClr val="000000"/>
                      </a:solidFill>
                      <a:latin typeface="Times New Roman"/>
                      <a:ea typeface="Times New Roman"/>
                      <a:cs typeface="Times New Roman"/>
                    </a:defRPr>
                  </a:pPr>
                  <a:endParaRPr lang="uk-UA"/>
                </a:p>
              </c:txPr>
              <c:dLblPos val="bestFit"/>
              <c:showLegendKey val="0"/>
              <c:showVal val="1"/>
              <c:showCatName val="1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9-9A4F-4616-8A29-8AFB72438754}"/>
                </c:ext>
              </c:extLst>
            </c:dLbl>
            <c:numFmt formatCode="0%" sourceLinked="0"/>
            <c:spPr>
              <a:noFill/>
              <a:ln w="25375">
                <a:noFill/>
              </a:ln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1199" b="1" i="0" u="none" strike="noStrike" baseline="0">
                    <a:solidFill>
                      <a:srgbClr val="000000"/>
                    </a:solidFill>
                    <a:latin typeface="Times New Roman"/>
                    <a:ea typeface="Times New Roman"/>
                    <a:cs typeface="Times New Roman"/>
                  </a:defRPr>
                </a:pPr>
                <a:endParaRPr lang="uk-UA"/>
              </a:p>
            </c:txPr>
            <c:showLegendKey val="0"/>
            <c:showVal val="1"/>
            <c:showCatName val="1"/>
            <c:showSerName val="0"/>
            <c:showPercent val="1"/>
            <c:showBubbleSize val="0"/>
            <c:showLeaderLines val="1"/>
            <c:extLst>
              <c:ext xmlns:c15="http://schemas.microsoft.com/office/drawing/2012/chart" uri="{CE6537A1-D6FC-4f65-9D91-7224C49458BB}"/>
            </c:extLst>
          </c:dLbls>
          <c:cat>
            <c:strRef>
              <c:f>Sheet1!$B$1:$K$1</c:f>
              <c:strCache>
                <c:ptCount val="10"/>
                <c:pt idx="0">
                  <c:v>Перерви в е/постач</c:v>
                </c:pt>
                <c:pt idx="1">
                  <c:v>Електрифікація новобудов</c:v>
                </c:pt>
                <c:pt idx="2">
                  <c:v>Перепади напуги</c:v>
                </c:pt>
                <c:pt idx="3">
                  <c:v>Чистка траси ЛЕП</c:v>
                </c:pt>
                <c:pt idx="4">
                  <c:v>Перенести ПЛ</c:v>
                </c:pt>
                <c:pt idx="5">
                  <c:v>Надати інформацію</c:v>
                </c:pt>
                <c:pt idx="6">
                  <c:v>Аварійні опори</c:v>
                </c:pt>
                <c:pt idx="7">
                  <c:v>Скарги на працівників</c:v>
                </c:pt>
                <c:pt idx="8">
                  <c:v>Вихід з ладу електроприладів</c:v>
                </c:pt>
                <c:pt idx="9">
                  <c:v>Низька напруга</c:v>
                </c:pt>
              </c:strCache>
            </c:strRef>
          </c:cat>
          <c:val>
            <c:numRef>
              <c:f>Sheet1!$B$2:$K$2</c:f>
              <c:numCache>
                <c:formatCode>General</c:formatCode>
                <c:ptCount val="10"/>
                <c:pt idx="0">
                  <c:v>6</c:v>
                </c:pt>
                <c:pt idx="1">
                  <c:v>3</c:v>
                </c:pt>
                <c:pt idx="2">
                  <c:v>2</c:v>
                </c:pt>
                <c:pt idx="4">
                  <c:v>2</c:v>
                </c:pt>
                <c:pt idx="5">
                  <c:v>2</c:v>
                </c:pt>
                <c:pt idx="6">
                  <c:v>5</c:v>
                </c:pt>
                <c:pt idx="7">
                  <c:v>1</c:v>
                </c:pt>
                <c:pt idx="9">
                  <c:v>7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A-9A4F-4616-8A29-8AFB72438754}"/>
            </c:ext>
          </c:extLst>
        </c:ser>
        <c:ser>
          <c:idx val="1"/>
          <c:order val="1"/>
          <c:tx>
            <c:strRef>
              <c:f>Sheet1!$A$3</c:f>
              <c:strCache>
                <c:ptCount val="1"/>
              </c:strCache>
            </c:strRef>
          </c:tx>
          <c:spPr>
            <a:solidFill>
              <a:srgbClr val="993366"/>
            </a:solidFill>
            <a:ln w="12688">
              <a:solidFill>
                <a:srgbClr val="000000"/>
              </a:solidFill>
              <a:prstDash val="solid"/>
            </a:ln>
          </c:spPr>
          <c:dPt>
            <c:idx val="0"/>
            <c:bubble3D val="0"/>
            <c:spPr>
              <a:solidFill>
                <a:srgbClr val="9999FF"/>
              </a:solidFill>
              <a:ln w="12688">
                <a:solidFill>
                  <a:srgbClr val="00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B-9A4F-4616-8A29-8AFB72438754}"/>
              </c:ext>
            </c:extLst>
          </c:dPt>
          <c:dPt>
            <c:idx val="1"/>
            <c:bubble3D val="0"/>
            <c:extLst>
              <c:ext xmlns:c16="http://schemas.microsoft.com/office/drawing/2014/chart" uri="{C3380CC4-5D6E-409C-BE32-E72D297353CC}">
                <c16:uniqueId val="{0000000C-9A4F-4616-8A29-8AFB72438754}"/>
              </c:ext>
            </c:extLst>
          </c:dPt>
          <c:dPt>
            <c:idx val="2"/>
            <c:bubble3D val="0"/>
            <c:spPr>
              <a:solidFill>
                <a:srgbClr val="FFFFCC"/>
              </a:solidFill>
              <a:ln w="12688">
                <a:solidFill>
                  <a:srgbClr val="00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D-9A4F-4616-8A29-8AFB72438754}"/>
              </c:ext>
            </c:extLst>
          </c:dPt>
          <c:dPt>
            <c:idx val="3"/>
            <c:bubble3D val="0"/>
            <c:spPr>
              <a:solidFill>
                <a:srgbClr val="CCFFFF"/>
              </a:solidFill>
              <a:ln w="12688">
                <a:solidFill>
                  <a:srgbClr val="00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E-9A4F-4616-8A29-8AFB72438754}"/>
              </c:ext>
            </c:extLst>
          </c:dPt>
          <c:dPt>
            <c:idx val="4"/>
            <c:bubble3D val="0"/>
            <c:spPr>
              <a:solidFill>
                <a:srgbClr val="660066"/>
              </a:solidFill>
              <a:ln w="12688">
                <a:solidFill>
                  <a:srgbClr val="00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F-9A4F-4616-8A29-8AFB72438754}"/>
              </c:ext>
            </c:extLst>
          </c:dPt>
          <c:dPt>
            <c:idx val="5"/>
            <c:bubble3D val="0"/>
            <c:spPr>
              <a:solidFill>
                <a:srgbClr val="FF8080"/>
              </a:solidFill>
              <a:ln w="12688">
                <a:solidFill>
                  <a:srgbClr val="00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10-9A4F-4616-8A29-8AFB72438754}"/>
              </c:ext>
            </c:extLst>
          </c:dPt>
          <c:dPt>
            <c:idx val="6"/>
            <c:bubble3D val="0"/>
            <c:spPr>
              <a:solidFill>
                <a:srgbClr val="0066CC"/>
              </a:solidFill>
              <a:ln w="12688">
                <a:solidFill>
                  <a:srgbClr val="00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11-9A4F-4616-8A29-8AFB72438754}"/>
              </c:ext>
            </c:extLst>
          </c:dPt>
          <c:dPt>
            <c:idx val="7"/>
            <c:bubble3D val="0"/>
            <c:spPr>
              <a:solidFill>
                <a:srgbClr val="CCCCFF"/>
              </a:solidFill>
              <a:ln w="12688">
                <a:solidFill>
                  <a:srgbClr val="00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12-9A4F-4616-8A29-8AFB72438754}"/>
              </c:ext>
            </c:extLst>
          </c:dPt>
          <c:dPt>
            <c:idx val="8"/>
            <c:bubble3D val="0"/>
            <c:spPr>
              <a:solidFill>
                <a:srgbClr val="000080"/>
              </a:solidFill>
              <a:ln w="12688">
                <a:solidFill>
                  <a:srgbClr val="00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13-9A4F-4616-8A29-8AFB72438754}"/>
              </c:ext>
            </c:extLst>
          </c:dPt>
          <c:dPt>
            <c:idx val="9"/>
            <c:bubble3D val="0"/>
            <c:spPr>
              <a:solidFill>
                <a:srgbClr val="FF00FF"/>
              </a:solidFill>
              <a:ln w="12688">
                <a:solidFill>
                  <a:srgbClr val="00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14-9A4F-4616-8A29-8AFB72438754}"/>
              </c:ext>
            </c:extLst>
          </c:dPt>
          <c:dLbls>
            <c:numFmt formatCode="0%" sourceLinked="0"/>
            <c:spPr>
              <a:noFill/>
              <a:ln w="25375">
                <a:noFill/>
              </a:ln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524" b="1" i="0" u="none" strike="noStrike" baseline="0">
                    <a:solidFill>
                      <a:srgbClr val="000000"/>
                    </a:solidFill>
                    <a:latin typeface="Times New Roman"/>
                    <a:ea typeface="Times New Roman"/>
                    <a:cs typeface="Times New Roman"/>
                  </a:defRPr>
                </a:pPr>
                <a:endParaRPr lang="uk-UA"/>
              </a:p>
            </c:txPr>
            <c:showLegendKey val="0"/>
            <c:showVal val="1"/>
            <c:showCatName val="1"/>
            <c:showSerName val="0"/>
            <c:showPercent val="1"/>
            <c:showBubbleSize val="0"/>
            <c:showLeaderLines val="1"/>
            <c:extLst>
              <c:ext xmlns:c15="http://schemas.microsoft.com/office/drawing/2012/chart" uri="{CE6537A1-D6FC-4f65-9D91-7224C49458BB}"/>
            </c:extLst>
          </c:dLbls>
          <c:cat>
            <c:strRef>
              <c:f>Sheet1!$B$1:$K$1</c:f>
              <c:strCache>
                <c:ptCount val="10"/>
                <c:pt idx="0">
                  <c:v>Перерви в е/постач</c:v>
                </c:pt>
                <c:pt idx="1">
                  <c:v>Електрифікація новобудов</c:v>
                </c:pt>
                <c:pt idx="2">
                  <c:v>Перепади напуги</c:v>
                </c:pt>
                <c:pt idx="3">
                  <c:v>Чистка траси ЛЕП</c:v>
                </c:pt>
                <c:pt idx="4">
                  <c:v>Перенести ПЛ</c:v>
                </c:pt>
                <c:pt idx="5">
                  <c:v>Надати інформацію</c:v>
                </c:pt>
                <c:pt idx="6">
                  <c:v>Аварійні опори</c:v>
                </c:pt>
                <c:pt idx="7">
                  <c:v>Скарги на працівників</c:v>
                </c:pt>
                <c:pt idx="8">
                  <c:v>Вихід з ладу електроприладів</c:v>
                </c:pt>
                <c:pt idx="9">
                  <c:v>Низька напруга</c:v>
                </c:pt>
              </c:strCache>
            </c:strRef>
          </c:cat>
          <c:val>
            <c:numRef>
              <c:f>Sheet1!$B$3:$K$3</c:f>
              <c:numCache>
                <c:formatCode>General</c:formatCode>
                <c:ptCount val="10"/>
              </c:numCache>
            </c:numRef>
          </c:val>
          <c:extLst>
            <c:ext xmlns:c16="http://schemas.microsoft.com/office/drawing/2014/chart" uri="{C3380CC4-5D6E-409C-BE32-E72D297353CC}">
              <c16:uniqueId val="{00000015-9A4F-4616-8A29-8AFB72438754}"/>
            </c:ext>
          </c:extLst>
        </c:ser>
        <c:ser>
          <c:idx val="2"/>
          <c:order val="2"/>
          <c:tx>
            <c:strRef>
              <c:f>Sheet1!$A$4</c:f>
              <c:strCache>
                <c:ptCount val="1"/>
              </c:strCache>
            </c:strRef>
          </c:tx>
          <c:spPr>
            <a:solidFill>
              <a:srgbClr val="FFFFCC"/>
            </a:solidFill>
            <a:ln w="12688">
              <a:solidFill>
                <a:srgbClr val="000000"/>
              </a:solidFill>
              <a:prstDash val="solid"/>
            </a:ln>
          </c:spPr>
          <c:dPt>
            <c:idx val="0"/>
            <c:bubble3D val="0"/>
            <c:spPr>
              <a:solidFill>
                <a:srgbClr val="9999FF"/>
              </a:solidFill>
              <a:ln w="12688">
                <a:solidFill>
                  <a:srgbClr val="00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16-9A4F-4616-8A29-8AFB72438754}"/>
              </c:ext>
            </c:extLst>
          </c:dPt>
          <c:dPt>
            <c:idx val="1"/>
            <c:bubble3D val="0"/>
            <c:spPr>
              <a:solidFill>
                <a:srgbClr val="993366"/>
              </a:solidFill>
              <a:ln w="12688">
                <a:solidFill>
                  <a:srgbClr val="00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17-9A4F-4616-8A29-8AFB72438754}"/>
              </c:ext>
            </c:extLst>
          </c:dPt>
          <c:dPt>
            <c:idx val="2"/>
            <c:bubble3D val="0"/>
            <c:extLst>
              <c:ext xmlns:c16="http://schemas.microsoft.com/office/drawing/2014/chart" uri="{C3380CC4-5D6E-409C-BE32-E72D297353CC}">
                <c16:uniqueId val="{00000018-9A4F-4616-8A29-8AFB72438754}"/>
              </c:ext>
            </c:extLst>
          </c:dPt>
          <c:dPt>
            <c:idx val="3"/>
            <c:bubble3D val="0"/>
            <c:spPr>
              <a:solidFill>
                <a:srgbClr val="CCFFFF"/>
              </a:solidFill>
              <a:ln w="12688">
                <a:solidFill>
                  <a:srgbClr val="00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19-9A4F-4616-8A29-8AFB72438754}"/>
              </c:ext>
            </c:extLst>
          </c:dPt>
          <c:dPt>
            <c:idx val="4"/>
            <c:bubble3D val="0"/>
            <c:spPr>
              <a:solidFill>
                <a:srgbClr val="660066"/>
              </a:solidFill>
              <a:ln w="12688">
                <a:solidFill>
                  <a:srgbClr val="00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1A-9A4F-4616-8A29-8AFB72438754}"/>
              </c:ext>
            </c:extLst>
          </c:dPt>
          <c:dPt>
            <c:idx val="5"/>
            <c:bubble3D val="0"/>
            <c:spPr>
              <a:solidFill>
                <a:srgbClr val="FF8080"/>
              </a:solidFill>
              <a:ln w="12688">
                <a:solidFill>
                  <a:srgbClr val="00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1B-9A4F-4616-8A29-8AFB72438754}"/>
              </c:ext>
            </c:extLst>
          </c:dPt>
          <c:dPt>
            <c:idx val="6"/>
            <c:bubble3D val="0"/>
            <c:spPr>
              <a:solidFill>
                <a:srgbClr val="0066CC"/>
              </a:solidFill>
              <a:ln w="12688">
                <a:solidFill>
                  <a:srgbClr val="00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1C-9A4F-4616-8A29-8AFB72438754}"/>
              </c:ext>
            </c:extLst>
          </c:dPt>
          <c:dPt>
            <c:idx val="7"/>
            <c:bubble3D val="0"/>
            <c:spPr>
              <a:solidFill>
                <a:srgbClr val="CCCCFF"/>
              </a:solidFill>
              <a:ln w="12688">
                <a:solidFill>
                  <a:srgbClr val="00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1D-9A4F-4616-8A29-8AFB72438754}"/>
              </c:ext>
            </c:extLst>
          </c:dPt>
          <c:dPt>
            <c:idx val="8"/>
            <c:bubble3D val="0"/>
            <c:spPr>
              <a:solidFill>
                <a:srgbClr val="000080"/>
              </a:solidFill>
              <a:ln w="12688">
                <a:solidFill>
                  <a:srgbClr val="00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1E-9A4F-4616-8A29-8AFB72438754}"/>
              </c:ext>
            </c:extLst>
          </c:dPt>
          <c:dPt>
            <c:idx val="9"/>
            <c:bubble3D val="0"/>
            <c:spPr>
              <a:solidFill>
                <a:srgbClr val="FF00FF"/>
              </a:solidFill>
              <a:ln w="12688">
                <a:solidFill>
                  <a:srgbClr val="00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1F-9A4F-4616-8A29-8AFB72438754}"/>
              </c:ext>
            </c:extLst>
          </c:dPt>
          <c:dLbls>
            <c:numFmt formatCode="0%" sourceLinked="0"/>
            <c:spPr>
              <a:noFill/>
              <a:ln w="25375">
                <a:noFill/>
              </a:ln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524" b="1" i="0" u="none" strike="noStrike" baseline="0">
                    <a:solidFill>
                      <a:srgbClr val="000000"/>
                    </a:solidFill>
                    <a:latin typeface="Times New Roman"/>
                    <a:ea typeface="Times New Roman"/>
                    <a:cs typeface="Times New Roman"/>
                  </a:defRPr>
                </a:pPr>
                <a:endParaRPr lang="uk-UA"/>
              </a:p>
            </c:txPr>
            <c:showLegendKey val="0"/>
            <c:showVal val="1"/>
            <c:showCatName val="1"/>
            <c:showSerName val="0"/>
            <c:showPercent val="1"/>
            <c:showBubbleSize val="0"/>
            <c:showLeaderLines val="1"/>
            <c:extLst>
              <c:ext xmlns:c15="http://schemas.microsoft.com/office/drawing/2012/chart" uri="{CE6537A1-D6FC-4f65-9D91-7224C49458BB}"/>
            </c:extLst>
          </c:dLbls>
          <c:cat>
            <c:strRef>
              <c:f>Sheet1!$B$1:$K$1</c:f>
              <c:strCache>
                <c:ptCount val="10"/>
                <c:pt idx="0">
                  <c:v>Перерви в е/постач</c:v>
                </c:pt>
                <c:pt idx="1">
                  <c:v>Електрифікація новобудов</c:v>
                </c:pt>
                <c:pt idx="2">
                  <c:v>Перепади напуги</c:v>
                </c:pt>
                <c:pt idx="3">
                  <c:v>Чистка траси ЛЕП</c:v>
                </c:pt>
                <c:pt idx="4">
                  <c:v>Перенести ПЛ</c:v>
                </c:pt>
                <c:pt idx="5">
                  <c:v>Надати інформацію</c:v>
                </c:pt>
                <c:pt idx="6">
                  <c:v>Аварійні опори</c:v>
                </c:pt>
                <c:pt idx="7">
                  <c:v>Скарги на працівників</c:v>
                </c:pt>
                <c:pt idx="8">
                  <c:v>Вихід з ладу електроприладів</c:v>
                </c:pt>
                <c:pt idx="9">
                  <c:v>Низька напруга</c:v>
                </c:pt>
              </c:strCache>
            </c:strRef>
          </c:cat>
          <c:val>
            <c:numRef>
              <c:f>Sheet1!$B$4:$K$4</c:f>
              <c:numCache>
                <c:formatCode>General</c:formatCode>
                <c:ptCount val="10"/>
              </c:numCache>
            </c:numRef>
          </c:val>
          <c:extLst>
            <c:ext xmlns:c16="http://schemas.microsoft.com/office/drawing/2014/chart" uri="{C3380CC4-5D6E-409C-BE32-E72D297353CC}">
              <c16:uniqueId val="{00000020-9A4F-4616-8A29-8AFB72438754}"/>
            </c:ext>
          </c:extLst>
        </c:ser>
        <c:dLbls>
          <c:showLegendKey val="0"/>
          <c:showVal val="1"/>
          <c:showCatName val="1"/>
          <c:showSerName val="0"/>
          <c:showPercent val="1"/>
          <c:showBubbleSize val="0"/>
          <c:showLeaderLines val="1"/>
        </c:dLbls>
      </c:pie3DChart>
      <c:spPr>
        <a:gradFill rotWithShape="0">
          <a:gsLst>
            <a:gs pos="0">
              <a:srgbClr xmlns:mc="http://schemas.openxmlformats.org/markup-compatibility/2006" xmlns:a14="http://schemas.microsoft.com/office/drawing/2010/main" val="FFFFFF" mc:Ignorable="a14" a14:legacySpreadsheetColorIndex="9"/>
            </a:gs>
            <a:gs pos="100000">
              <a:srgbClr xmlns:mc="http://schemas.openxmlformats.org/markup-compatibility/2006" xmlns:a14="http://schemas.microsoft.com/office/drawing/2010/main" val="FFFFFF" mc:Ignorable="a14" a14:legacySpreadsheetColorIndex="9"/>
            </a:gs>
          </a:gsLst>
          <a:lin ang="5400000" scaled="1"/>
        </a:gradFill>
        <a:ln w="12688">
          <a:solidFill>
            <a:srgbClr val="FFFFFF"/>
          </a:solidFill>
          <a:prstDash val="solid"/>
        </a:ln>
      </c:spPr>
    </c:plotArea>
    <c:plotVisOnly val="1"/>
    <c:dispBlanksAs val="zero"/>
    <c:showDLblsOverMax val="0"/>
  </c:chart>
  <c:spPr>
    <a:noFill/>
    <a:ln>
      <a:noFill/>
    </a:ln>
  </c:spPr>
  <c:txPr>
    <a:bodyPr/>
    <a:lstStyle/>
    <a:p>
      <a:pPr>
        <a:defRPr sz="1199" b="1" i="0" u="none" strike="noStrike" baseline="0">
          <a:solidFill>
            <a:srgbClr val="000000"/>
          </a:solidFill>
          <a:latin typeface="Times New Roman"/>
          <a:ea typeface="Times New Roman"/>
          <a:cs typeface="Times New Roman"/>
        </a:defRPr>
      </a:pPr>
      <a:endParaRPr lang="uk-UA"/>
    </a:p>
  </c:txPr>
  <c:externalData r:id="rId1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uk-UA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15"/>
      <c:rotY val="0"/>
      <c:rAngAx val="0"/>
      <c:perspective val="0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0.1732418524871355"/>
          <c:y val="0.34948979591836737"/>
          <c:w val="0.71183533447684388"/>
          <c:h val="0.41836734693877553"/>
        </c:manualLayout>
      </c:layout>
      <c:pie3DChart>
        <c:varyColors val="1"/>
        <c:ser>
          <c:idx val="0"/>
          <c:order val="0"/>
          <c:tx>
            <c:strRef>
              <c:f>Sheet1!$A$2</c:f>
              <c:strCache>
                <c:ptCount val="1"/>
                <c:pt idx="0">
                  <c:v>Технічні звернення</c:v>
                </c:pt>
              </c:strCache>
            </c:strRef>
          </c:tx>
          <c:spPr>
            <a:solidFill>
              <a:srgbClr val="9999FF"/>
            </a:solidFill>
            <a:ln w="12700">
              <a:solidFill>
                <a:srgbClr val="000000"/>
              </a:solidFill>
              <a:prstDash val="solid"/>
            </a:ln>
          </c:spPr>
          <c:dPt>
            <c:idx val="0"/>
            <c:bubble3D val="0"/>
            <c:extLst>
              <c:ext xmlns:c16="http://schemas.microsoft.com/office/drawing/2014/chart" uri="{C3380CC4-5D6E-409C-BE32-E72D297353CC}">
                <c16:uniqueId val="{00000000-1D0B-4F81-A5BF-E471A5FD1CE2}"/>
              </c:ext>
            </c:extLst>
          </c:dPt>
          <c:dPt>
            <c:idx val="1"/>
            <c:bubble3D val="0"/>
            <c:spPr>
              <a:solidFill>
                <a:srgbClr val="FF99CC"/>
              </a:solidFill>
              <a:ln w="12700">
                <a:solidFill>
                  <a:srgbClr val="00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1-1D0B-4F81-A5BF-E471A5FD1CE2}"/>
              </c:ext>
            </c:extLst>
          </c:dPt>
          <c:dPt>
            <c:idx val="2"/>
            <c:bubble3D val="0"/>
            <c:spPr>
              <a:gradFill rotWithShape="0">
                <a:gsLst>
                  <a:gs pos="0">
                    <a:srgbClr xmlns:mc="http://schemas.openxmlformats.org/markup-compatibility/2006" xmlns:a14="http://schemas.microsoft.com/office/drawing/2010/main" val="660066" mc:Ignorable="a14" a14:legacySpreadsheetColorIndex="28"/>
                  </a:gs>
                  <a:gs pos="100000">
                    <a:srgbClr xmlns:mc="http://schemas.openxmlformats.org/markup-compatibility/2006" xmlns:a14="http://schemas.microsoft.com/office/drawing/2010/main" val="610061" mc:Ignorable="a14" a14:legacySpreadsheetColorIndex="28">
                      <a:gamma/>
                      <a:shade val="98824"/>
                      <a:invGamma/>
                    </a:srgbClr>
                  </a:gs>
                </a:gsLst>
                <a:lin ang="5400000" scaled="1"/>
              </a:gradFill>
              <a:ln w="12700">
                <a:solidFill>
                  <a:srgbClr val="00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2-1D0B-4F81-A5BF-E471A5FD1CE2}"/>
              </c:ext>
            </c:extLst>
          </c:dPt>
          <c:dPt>
            <c:idx val="3"/>
            <c:bubble3D val="0"/>
            <c:extLst>
              <c:ext xmlns:c16="http://schemas.microsoft.com/office/drawing/2014/chart" uri="{C3380CC4-5D6E-409C-BE32-E72D297353CC}">
                <c16:uniqueId val="{00000003-1D0B-4F81-A5BF-E471A5FD1CE2}"/>
              </c:ext>
            </c:extLst>
          </c:dPt>
          <c:dPt>
            <c:idx val="4"/>
            <c:bubble3D val="0"/>
            <c:spPr>
              <a:solidFill>
                <a:srgbClr val="FF9900"/>
              </a:solidFill>
              <a:ln w="12700">
                <a:solidFill>
                  <a:srgbClr val="00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4-1D0B-4F81-A5BF-E471A5FD1CE2}"/>
              </c:ext>
            </c:extLst>
          </c:dPt>
          <c:dPt>
            <c:idx val="5"/>
            <c:bubble3D val="0"/>
            <c:spPr>
              <a:gradFill rotWithShape="0">
                <a:gsLst>
                  <a:gs pos="0">
                    <a:srgbClr xmlns:mc="http://schemas.openxmlformats.org/markup-compatibility/2006" xmlns:a14="http://schemas.microsoft.com/office/drawing/2010/main" val="339966" mc:Ignorable="a14" a14:legacySpreadsheetColorIndex="57"/>
                  </a:gs>
                  <a:gs pos="100000">
                    <a:srgbClr xmlns:mc="http://schemas.openxmlformats.org/markup-compatibility/2006" xmlns:a14="http://schemas.microsoft.com/office/drawing/2010/main" val="F7FBF9" mc:Ignorable="a14" a14:legacySpreadsheetColorIndex="57">
                      <a:gamma/>
                      <a:tint val="52941"/>
                      <a:invGamma/>
                    </a:srgbClr>
                  </a:gs>
                </a:gsLst>
                <a:lin ang="5400000" scaled="1"/>
              </a:gradFill>
              <a:ln w="12700">
                <a:solidFill>
                  <a:srgbClr val="00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5-1D0B-4F81-A5BF-E471A5FD1CE2}"/>
              </c:ext>
            </c:extLst>
          </c:dPt>
          <c:dLbls>
            <c:dLbl>
              <c:idx val="0"/>
              <c:layout>
                <c:manualLayout>
                  <c:x val="-2.1852905450445492E-2"/>
                  <c:y val="-0.1701220198133736"/>
                </c:manualLayout>
              </c:layout>
              <c:tx>
                <c:rich>
                  <a:bodyPr/>
                  <a:lstStyle/>
                  <a:p>
                    <a:pPr>
                      <a:defRPr sz="1200" b="1" i="0" u="none" strike="noStrike" baseline="0">
                        <a:solidFill>
                          <a:srgbClr val="000000"/>
                        </a:solidFill>
                        <a:latin typeface="Times New Roman"/>
                        <a:ea typeface="Times New Roman"/>
                        <a:cs typeface="Times New Roman"/>
                      </a:defRPr>
                    </a:pPr>
                    <a:r>
                      <a:rPr lang="uk-UA"/>
                      <a:t>Припинення ел.; 
1; 25%</a:t>
                    </a:r>
                  </a:p>
                </c:rich>
              </c:tx>
              <c:spPr>
                <a:noFill/>
                <a:ln w="25400">
                  <a:noFill/>
                </a:ln>
              </c:spPr>
              <c:dLblPos val="bestFit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0-1D0B-4F81-A5BF-E471A5FD1CE2}"/>
                </c:ext>
              </c:extLst>
            </c:dLbl>
            <c:dLbl>
              <c:idx val="1"/>
              <c:layout>
                <c:manualLayout>
                  <c:x val="-6.5434936732978066E-2"/>
                  <c:y val="0.10598531669080369"/>
                </c:manualLayout>
              </c:layout>
              <c:tx>
                <c:rich>
                  <a:bodyPr/>
                  <a:lstStyle/>
                  <a:p>
                    <a:pPr>
                      <a:defRPr sz="1200" b="1" i="0" u="none" strike="noStrike" baseline="0">
                        <a:solidFill>
                          <a:srgbClr val="000000"/>
                        </a:solidFill>
                        <a:latin typeface="Times New Roman"/>
                        <a:ea typeface="Times New Roman"/>
                        <a:cs typeface="Times New Roman"/>
                      </a:defRPr>
                    </a:pPr>
                    <a:r>
                      <a:rPr lang="uk-UA"/>
                      <a:t>Надати інформацію;
 1; 25%</a:t>
                    </a:r>
                  </a:p>
                </c:rich>
              </c:tx>
              <c:spPr>
                <a:noFill/>
                <a:ln w="25400">
                  <a:noFill/>
                </a:ln>
              </c:spPr>
              <c:dLblPos val="bestFit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1D0B-4F81-A5BF-E471A5FD1CE2}"/>
                </c:ext>
              </c:extLst>
            </c:dLbl>
            <c:dLbl>
              <c:idx val="2"/>
              <c:layout>
                <c:manualLayout>
                  <c:x val="-4.4775220972589215E-2"/>
                  <c:y val="-5.5527885772456154E-3"/>
                </c:manualLayout>
              </c:layout>
              <c:tx>
                <c:rich>
                  <a:bodyPr/>
                  <a:lstStyle/>
                  <a:p>
                    <a:pPr>
                      <a:defRPr sz="1200" b="1" i="0" u="none" strike="noStrike" baseline="0">
                        <a:solidFill>
                          <a:srgbClr val="000000"/>
                        </a:solidFill>
                        <a:latin typeface="Times New Roman"/>
                        <a:ea typeface="Times New Roman"/>
                        <a:cs typeface="Times New Roman"/>
                      </a:defRPr>
                    </a:pPr>
                    <a:r>
                      <a:rPr lang="uk-UA"/>
                      <a:t>Прилади обліку;
 2; 50%</a:t>
                    </a:r>
                  </a:p>
                </c:rich>
              </c:tx>
              <c:spPr>
                <a:noFill/>
                <a:ln w="25400">
                  <a:noFill/>
                </a:ln>
              </c:spPr>
              <c:dLblPos val="bestFit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2-1D0B-4F81-A5BF-E471A5FD1CE2}"/>
                </c:ext>
              </c:extLst>
            </c:dLbl>
            <c:dLbl>
              <c:idx val="3"/>
              <c:delet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3-1D0B-4F81-A5BF-E471A5FD1CE2}"/>
                </c:ext>
              </c:extLst>
            </c:dLbl>
            <c:dLbl>
              <c:idx val="4"/>
              <c:delet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4-1D0B-4F81-A5BF-E471A5FD1CE2}"/>
                </c:ext>
              </c:extLst>
            </c:dLbl>
            <c:dLbl>
              <c:idx val="5"/>
              <c:delet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5-1D0B-4F81-A5BF-E471A5FD1CE2}"/>
                </c:ext>
              </c:extLst>
            </c:dLbl>
            <c:dLbl>
              <c:idx val="6"/>
              <c:layout>
                <c:manualLayout>
                  <c:xMode val="edge"/>
                  <c:yMode val="edge"/>
                  <c:x val="0.29502572898799312"/>
                  <c:y val="8.673469387755102E-2"/>
                </c:manualLayout>
              </c:layout>
              <c:numFmt formatCode="0%" sourceLinked="0"/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 sz="800" b="1" i="0" u="none" strike="noStrike" baseline="0">
                      <a:solidFill>
                        <a:srgbClr val="000000"/>
                      </a:solidFill>
                      <a:latin typeface="Times New Roman"/>
                      <a:ea typeface="Times New Roman"/>
                      <a:cs typeface="Times New Roman"/>
                    </a:defRPr>
                  </a:pPr>
                  <a:endParaRPr lang="uk-UA"/>
                </a:p>
              </c:txPr>
              <c:dLblPos val="bestFit"/>
              <c:showLegendKey val="0"/>
              <c:showVal val="1"/>
              <c:showCatName val="1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6-1D0B-4F81-A5BF-E471A5FD1CE2}"/>
                </c:ext>
              </c:extLst>
            </c:dLbl>
            <c:dLbl>
              <c:idx val="7"/>
              <c:layout>
                <c:manualLayout>
                  <c:xMode val="edge"/>
                  <c:yMode val="edge"/>
                  <c:x val="0.34133790737564323"/>
                  <c:y val="2.0408163265306121E-2"/>
                </c:manualLayout>
              </c:layout>
              <c:numFmt formatCode="0%" sourceLinked="0"/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 sz="800" b="1" i="0" u="none" strike="noStrike" baseline="0">
                      <a:solidFill>
                        <a:srgbClr val="000000"/>
                      </a:solidFill>
                      <a:latin typeface="Times New Roman"/>
                      <a:ea typeface="Times New Roman"/>
                      <a:cs typeface="Times New Roman"/>
                    </a:defRPr>
                  </a:pPr>
                  <a:endParaRPr lang="uk-UA"/>
                </a:p>
              </c:txPr>
              <c:dLblPos val="bestFit"/>
              <c:showLegendKey val="0"/>
              <c:showVal val="1"/>
              <c:showCatName val="1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8-1D0B-4F81-A5BF-E471A5FD1CE2}"/>
                </c:ext>
              </c:extLst>
            </c:dLbl>
            <c:dLbl>
              <c:idx val="8"/>
              <c:numFmt formatCode="0%" sourceLinked="0"/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 sz="800" b="1" i="0" u="none" strike="noStrike" baseline="0">
                      <a:solidFill>
                        <a:srgbClr val="000000"/>
                      </a:solidFill>
                      <a:latin typeface="Times New Roman"/>
                      <a:ea typeface="Times New Roman"/>
                      <a:cs typeface="Times New Roman"/>
                    </a:defRPr>
                  </a:pPr>
                  <a:endParaRPr lang="uk-UA"/>
                </a:p>
              </c:txPr>
              <c:dLblPos val="bestFit"/>
              <c:showLegendKey val="0"/>
              <c:showVal val="1"/>
              <c:showCatName val="1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7-1D0B-4F81-A5BF-E471A5FD1CE2}"/>
                </c:ext>
              </c:extLst>
            </c:dLbl>
            <c:dLbl>
              <c:idx val="9"/>
              <c:layout>
                <c:manualLayout>
                  <c:xMode val="edge"/>
                  <c:yMode val="edge"/>
                  <c:x val="0.26758147512864494"/>
                  <c:y val="5.1020408163265302E-3"/>
                </c:manualLayout>
              </c:layout>
              <c:numFmt formatCode="0%" sourceLinked="0"/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 sz="800" b="1" i="0" u="none" strike="noStrike" baseline="0">
                      <a:solidFill>
                        <a:srgbClr val="000000"/>
                      </a:solidFill>
                      <a:latin typeface="Times New Roman"/>
                      <a:ea typeface="Times New Roman"/>
                      <a:cs typeface="Times New Roman"/>
                    </a:defRPr>
                  </a:pPr>
                  <a:endParaRPr lang="uk-UA"/>
                </a:p>
              </c:txPr>
              <c:dLblPos val="bestFit"/>
              <c:showLegendKey val="0"/>
              <c:showVal val="1"/>
              <c:showCatName val="1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9-1D0B-4F81-A5BF-E471A5FD1CE2}"/>
                </c:ext>
              </c:extLst>
            </c:dLbl>
            <c:dLbl>
              <c:idx val="10"/>
              <c:layout>
                <c:manualLayout>
                  <c:xMode val="edge"/>
                  <c:yMode val="edge"/>
                  <c:x val="0.53001715265866212"/>
                  <c:y val="9.1836734693877556E-2"/>
                </c:manualLayout>
              </c:layout>
              <c:numFmt formatCode="0%" sourceLinked="0"/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 sz="800" b="1" i="0" u="none" strike="noStrike" baseline="0">
                      <a:solidFill>
                        <a:srgbClr val="000000"/>
                      </a:solidFill>
                      <a:latin typeface="Times New Roman"/>
                      <a:ea typeface="Times New Roman"/>
                      <a:cs typeface="Times New Roman"/>
                    </a:defRPr>
                  </a:pPr>
                  <a:endParaRPr lang="uk-UA"/>
                </a:p>
              </c:txPr>
              <c:dLblPos val="bestFit"/>
              <c:showLegendKey val="0"/>
              <c:showVal val="1"/>
              <c:showCatName val="1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B-1D0B-4F81-A5BF-E471A5FD1CE2}"/>
                </c:ext>
              </c:extLst>
            </c:dLbl>
            <c:dLbl>
              <c:idx val="11"/>
              <c:layout>
                <c:manualLayout>
                  <c:xMode val="edge"/>
                  <c:yMode val="edge"/>
                  <c:x val="0.6295025728987993"/>
                  <c:y val="0.1326530612244898"/>
                </c:manualLayout>
              </c:layout>
              <c:numFmt formatCode="0%" sourceLinked="0"/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 sz="800" b="1" i="0" u="none" strike="noStrike" baseline="0">
                      <a:solidFill>
                        <a:srgbClr val="000000"/>
                      </a:solidFill>
                      <a:latin typeface="Times New Roman"/>
                      <a:ea typeface="Times New Roman"/>
                      <a:cs typeface="Times New Roman"/>
                    </a:defRPr>
                  </a:pPr>
                  <a:endParaRPr lang="uk-UA"/>
                </a:p>
              </c:txPr>
              <c:dLblPos val="bestFit"/>
              <c:showLegendKey val="0"/>
              <c:showVal val="1"/>
              <c:showCatName val="1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A-1D0B-4F81-A5BF-E471A5FD1CE2}"/>
                </c:ext>
              </c:extLst>
            </c:dLbl>
            <c:numFmt formatCode="0%" sourceLinked="0"/>
            <c:spPr>
              <a:noFill/>
              <a:ln w="25400">
                <a:noFill/>
              </a:ln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1200" b="1" i="0" u="none" strike="noStrike" baseline="0">
                    <a:solidFill>
                      <a:srgbClr val="000000"/>
                    </a:solidFill>
                    <a:latin typeface="Times New Roman"/>
                    <a:ea typeface="Times New Roman"/>
                    <a:cs typeface="Times New Roman"/>
                  </a:defRPr>
                </a:pPr>
                <a:endParaRPr lang="uk-UA"/>
              </a:p>
            </c:txPr>
            <c:showLegendKey val="0"/>
            <c:showVal val="1"/>
            <c:showCatName val="1"/>
            <c:showSerName val="0"/>
            <c:showPercent val="1"/>
            <c:showBubbleSize val="0"/>
            <c:showLeaderLines val="1"/>
            <c:extLst>
              <c:ext xmlns:c15="http://schemas.microsoft.com/office/drawing/2012/chart" uri="{CE6537A1-D6FC-4f65-9D91-7224C49458BB}"/>
            </c:extLst>
          </c:dLbls>
          <c:cat>
            <c:strRef>
              <c:f>Sheet1!$B$1:$M$1</c:f>
              <c:strCache>
                <c:ptCount val="6"/>
                <c:pt idx="0">
                  <c:v>Припинення ел.</c:v>
                </c:pt>
                <c:pt idx="1">
                  <c:v>Надати інформацію </c:v>
                </c:pt>
                <c:pt idx="2">
                  <c:v>Прилади обліку</c:v>
                </c:pt>
                <c:pt idx="3">
                  <c:v>Пільги</c:v>
                </c:pt>
                <c:pt idx="4">
                  <c:v>Скарги на працівників</c:v>
                </c:pt>
                <c:pt idx="5">
                  <c:v>Акт про порунення ПКЕЕ</c:v>
                </c:pt>
              </c:strCache>
            </c:strRef>
          </c:cat>
          <c:val>
            <c:numRef>
              <c:f>Sheet1!$B$2:$M$2</c:f>
              <c:numCache>
                <c:formatCode>General</c:formatCode>
                <c:ptCount val="6"/>
                <c:pt idx="0">
                  <c:v>1</c:v>
                </c:pt>
                <c:pt idx="1">
                  <c:v>1</c:v>
                </c:pt>
                <c:pt idx="2">
                  <c:v>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C-1D0B-4F81-A5BF-E471A5FD1CE2}"/>
            </c:ext>
          </c:extLst>
        </c:ser>
        <c:ser>
          <c:idx val="1"/>
          <c:order val="1"/>
          <c:tx>
            <c:strRef>
              <c:f>Sheet1!$A$3</c:f>
              <c:strCache>
                <c:ptCount val="1"/>
              </c:strCache>
            </c:strRef>
          </c:tx>
          <c:spPr>
            <a:solidFill>
              <a:srgbClr val="993366"/>
            </a:solidFill>
            <a:ln w="12700">
              <a:solidFill>
                <a:srgbClr val="000000"/>
              </a:solidFill>
              <a:prstDash val="solid"/>
            </a:ln>
          </c:spPr>
          <c:dPt>
            <c:idx val="0"/>
            <c:bubble3D val="0"/>
            <c:spPr>
              <a:solidFill>
                <a:srgbClr val="9999FF"/>
              </a:solidFill>
              <a:ln w="12700">
                <a:solidFill>
                  <a:srgbClr val="00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D-1D0B-4F81-A5BF-E471A5FD1CE2}"/>
              </c:ext>
            </c:extLst>
          </c:dPt>
          <c:dPt>
            <c:idx val="1"/>
            <c:bubble3D val="0"/>
            <c:extLst>
              <c:ext xmlns:c16="http://schemas.microsoft.com/office/drawing/2014/chart" uri="{C3380CC4-5D6E-409C-BE32-E72D297353CC}">
                <c16:uniqueId val="{0000000E-1D0B-4F81-A5BF-E471A5FD1CE2}"/>
              </c:ext>
            </c:extLst>
          </c:dPt>
          <c:dPt>
            <c:idx val="2"/>
            <c:bubble3D val="0"/>
            <c:spPr>
              <a:solidFill>
                <a:srgbClr val="FFFFCC"/>
              </a:solidFill>
              <a:ln w="12700">
                <a:solidFill>
                  <a:srgbClr val="00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F-1D0B-4F81-A5BF-E471A5FD1CE2}"/>
              </c:ext>
            </c:extLst>
          </c:dPt>
          <c:dPt>
            <c:idx val="3"/>
            <c:bubble3D val="0"/>
            <c:spPr>
              <a:solidFill>
                <a:srgbClr val="CCFFFF"/>
              </a:solidFill>
              <a:ln w="12700">
                <a:solidFill>
                  <a:srgbClr val="00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10-1D0B-4F81-A5BF-E471A5FD1CE2}"/>
              </c:ext>
            </c:extLst>
          </c:dPt>
          <c:dPt>
            <c:idx val="4"/>
            <c:bubble3D val="0"/>
            <c:spPr>
              <a:solidFill>
                <a:srgbClr val="660066"/>
              </a:solidFill>
              <a:ln w="12700">
                <a:solidFill>
                  <a:srgbClr val="00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11-1D0B-4F81-A5BF-E471A5FD1CE2}"/>
              </c:ext>
            </c:extLst>
          </c:dPt>
          <c:dPt>
            <c:idx val="5"/>
            <c:bubble3D val="0"/>
            <c:spPr>
              <a:solidFill>
                <a:srgbClr val="FF8080"/>
              </a:solidFill>
              <a:ln w="12700">
                <a:solidFill>
                  <a:srgbClr val="00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12-1D0B-4F81-A5BF-E471A5FD1CE2}"/>
              </c:ext>
            </c:extLst>
          </c:dPt>
          <c:dLbls>
            <c:numFmt formatCode="0%" sourceLinked="0"/>
            <c:spPr>
              <a:noFill/>
              <a:ln w="25400">
                <a:noFill/>
              </a:ln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1675" b="1" i="0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uk-UA"/>
              </a:p>
            </c:txPr>
            <c:showLegendKey val="0"/>
            <c:showVal val="1"/>
            <c:showCatName val="1"/>
            <c:showSerName val="0"/>
            <c:showPercent val="1"/>
            <c:showBubbleSize val="0"/>
            <c:showLeaderLines val="1"/>
            <c:extLst>
              <c:ext xmlns:c15="http://schemas.microsoft.com/office/drawing/2012/chart" uri="{CE6537A1-D6FC-4f65-9D91-7224C49458BB}"/>
            </c:extLst>
          </c:dLbls>
          <c:cat>
            <c:strRef>
              <c:f>Sheet1!$B$1:$M$1</c:f>
              <c:strCache>
                <c:ptCount val="6"/>
                <c:pt idx="0">
                  <c:v>Припинення ел.</c:v>
                </c:pt>
                <c:pt idx="1">
                  <c:v>Надати інформацію </c:v>
                </c:pt>
                <c:pt idx="2">
                  <c:v>Прилади обліку</c:v>
                </c:pt>
                <c:pt idx="3">
                  <c:v>Пільги</c:v>
                </c:pt>
                <c:pt idx="4">
                  <c:v>Скарги на працівників</c:v>
                </c:pt>
                <c:pt idx="5">
                  <c:v>Акт про порунення ПКЕЕ</c:v>
                </c:pt>
              </c:strCache>
            </c:strRef>
          </c:cat>
          <c:val>
            <c:numRef>
              <c:f>Sheet1!$B$3:$M$3</c:f>
              <c:numCache>
                <c:formatCode>General</c:formatCode>
                <c:ptCount val="6"/>
              </c:numCache>
            </c:numRef>
          </c:val>
          <c:extLst>
            <c:ext xmlns:c16="http://schemas.microsoft.com/office/drawing/2014/chart" uri="{C3380CC4-5D6E-409C-BE32-E72D297353CC}">
              <c16:uniqueId val="{00000013-1D0B-4F81-A5BF-E471A5FD1CE2}"/>
            </c:ext>
          </c:extLst>
        </c:ser>
        <c:ser>
          <c:idx val="2"/>
          <c:order val="2"/>
          <c:tx>
            <c:strRef>
              <c:f>Sheet1!$A$4</c:f>
              <c:strCache>
                <c:ptCount val="1"/>
              </c:strCache>
            </c:strRef>
          </c:tx>
          <c:spPr>
            <a:solidFill>
              <a:srgbClr val="FFFFCC"/>
            </a:solidFill>
            <a:ln w="12700">
              <a:solidFill>
                <a:srgbClr val="000000"/>
              </a:solidFill>
              <a:prstDash val="solid"/>
            </a:ln>
          </c:spPr>
          <c:dPt>
            <c:idx val="0"/>
            <c:bubble3D val="0"/>
            <c:spPr>
              <a:solidFill>
                <a:srgbClr val="9999FF"/>
              </a:solidFill>
              <a:ln w="12700">
                <a:solidFill>
                  <a:srgbClr val="00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14-1D0B-4F81-A5BF-E471A5FD1CE2}"/>
              </c:ext>
            </c:extLst>
          </c:dPt>
          <c:dPt>
            <c:idx val="1"/>
            <c:bubble3D val="0"/>
            <c:spPr>
              <a:solidFill>
                <a:srgbClr val="993366"/>
              </a:solidFill>
              <a:ln w="12700">
                <a:solidFill>
                  <a:srgbClr val="00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15-1D0B-4F81-A5BF-E471A5FD1CE2}"/>
              </c:ext>
            </c:extLst>
          </c:dPt>
          <c:dPt>
            <c:idx val="2"/>
            <c:bubble3D val="0"/>
            <c:extLst>
              <c:ext xmlns:c16="http://schemas.microsoft.com/office/drawing/2014/chart" uri="{C3380CC4-5D6E-409C-BE32-E72D297353CC}">
                <c16:uniqueId val="{00000016-1D0B-4F81-A5BF-E471A5FD1CE2}"/>
              </c:ext>
            </c:extLst>
          </c:dPt>
          <c:dPt>
            <c:idx val="3"/>
            <c:bubble3D val="0"/>
            <c:spPr>
              <a:solidFill>
                <a:srgbClr val="CCFFFF"/>
              </a:solidFill>
              <a:ln w="12700">
                <a:solidFill>
                  <a:srgbClr val="00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17-1D0B-4F81-A5BF-E471A5FD1CE2}"/>
              </c:ext>
            </c:extLst>
          </c:dPt>
          <c:dPt>
            <c:idx val="4"/>
            <c:bubble3D val="0"/>
            <c:spPr>
              <a:solidFill>
                <a:srgbClr val="660066"/>
              </a:solidFill>
              <a:ln w="12700">
                <a:solidFill>
                  <a:srgbClr val="00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18-1D0B-4F81-A5BF-E471A5FD1CE2}"/>
              </c:ext>
            </c:extLst>
          </c:dPt>
          <c:dPt>
            <c:idx val="5"/>
            <c:bubble3D val="0"/>
            <c:spPr>
              <a:solidFill>
                <a:srgbClr val="FF8080"/>
              </a:solidFill>
              <a:ln w="12700">
                <a:solidFill>
                  <a:srgbClr val="00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19-1D0B-4F81-A5BF-E471A5FD1CE2}"/>
              </c:ext>
            </c:extLst>
          </c:dPt>
          <c:dLbls>
            <c:numFmt formatCode="0%" sourceLinked="0"/>
            <c:spPr>
              <a:noFill/>
              <a:ln w="25400">
                <a:noFill/>
              </a:ln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1675" b="1" i="0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uk-UA"/>
              </a:p>
            </c:txPr>
            <c:showLegendKey val="0"/>
            <c:showVal val="1"/>
            <c:showCatName val="1"/>
            <c:showSerName val="0"/>
            <c:showPercent val="1"/>
            <c:showBubbleSize val="0"/>
            <c:showLeaderLines val="1"/>
            <c:extLst>
              <c:ext xmlns:c15="http://schemas.microsoft.com/office/drawing/2012/chart" uri="{CE6537A1-D6FC-4f65-9D91-7224C49458BB}"/>
            </c:extLst>
          </c:dLbls>
          <c:cat>
            <c:strRef>
              <c:f>Sheet1!$B$1:$M$1</c:f>
              <c:strCache>
                <c:ptCount val="6"/>
                <c:pt idx="0">
                  <c:v>Припинення ел.</c:v>
                </c:pt>
                <c:pt idx="1">
                  <c:v>Надати інформацію </c:v>
                </c:pt>
                <c:pt idx="2">
                  <c:v>Прилади обліку</c:v>
                </c:pt>
                <c:pt idx="3">
                  <c:v>Пільги</c:v>
                </c:pt>
                <c:pt idx="4">
                  <c:v>Скарги на працівників</c:v>
                </c:pt>
                <c:pt idx="5">
                  <c:v>Акт про порунення ПКЕЕ</c:v>
                </c:pt>
              </c:strCache>
            </c:strRef>
          </c:cat>
          <c:val>
            <c:numRef>
              <c:f>Sheet1!$B$4:$M$4</c:f>
              <c:numCache>
                <c:formatCode>General</c:formatCode>
                <c:ptCount val="6"/>
              </c:numCache>
            </c:numRef>
          </c:val>
          <c:extLst>
            <c:ext xmlns:c16="http://schemas.microsoft.com/office/drawing/2014/chart" uri="{C3380CC4-5D6E-409C-BE32-E72D297353CC}">
              <c16:uniqueId val="{0000001A-1D0B-4F81-A5BF-E471A5FD1CE2}"/>
            </c:ext>
          </c:extLst>
        </c:ser>
        <c:dLbls>
          <c:showLegendKey val="0"/>
          <c:showVal val="1"/>
          <c:showCatName val="1"/>
          <c:showSerName val="0"/>
          <c:showPercent val="1"/>
          <c:showBubbleSize val="0"/>
          <c:showLeaderLines val="1"/>
        </c:dLbls>
      </c:pie3DChart>
      <c:spPr>
        <a:gradFill rotWithShape="0">
          <a:gsLst>
            <a:gs pos="0">
              <a:srgbClr xmlns:mc="http://schemas.openxmlformats.org/markup-compatibility/2006" xmlns:a14="http://schemas.microsoft.com/office/drawing/2010/main" val="FFFFFF" mc:Ignorable="a14" a14:legacySpreadsheetColorIndex="9"/>
            </a:gs>
            <a:gs pos="100000">
              <a:srgbClr xmlns:mc="http://schemas.openxmlformats.org/markup-compatibility/2006" xmlns:a14="http://schemas.microsoft.com/office/drawing/2010/main" val="FFFFFF" mc:Ignorable="a14" a14:legacySpreadsheetColorIndex="9"/>
            </a:gs>
          </a:gsLst>
          <a:lin ang="5400000" scaled="1"/>
        </a:gradFill>
        <a:ln w="12700">
          <a:solidFill>
            <a:srgbClr val="FFFFFF"/>
          </a:solidFill>
          <a:prstDash val="solid"/>
        </a:ln>
      </c:spPr>
    </c:plotArea>
    <c:plotVisOnly val="1"/>
    <c:dispBlanksAs val="zero"/>
    <c:showDLblsOverMax val="0"/>
  </c:chart>
  <c:spPr>
    <a:noFill/>
    <a:ln>
      <a:noFill/>
    </a:ln>
  </c:spPr>
  <c:txPr>
    <a:bodyPr/>
    <a:lstStyle/>
    <a:p>
      <a:pPr>
        <a:defRPr sz="1675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uk-UA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885049-EB51-450C-AAE7-B7AD1C339B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4</Pages>
  <Words>913</Words>
  <Characters>521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Ткачук Наталія Михайлівна</dc:creator>
  <cp:keywords/>
  <dc:description/>
  <cp:lastModifiedBy>Ткачук Наталія Михайлівна</cp:lastModifiedBy>
  <cp:revision>1</cp:revision>
  <dcterms:created xsi:type="dcterms:W3CDTF">2019-03-05T10:11:00Z</dcterms:created>
  <dcterms:modified xsi:type="dcterms:W3CDTF">2019-03-05T10:32:00Z</dcterms:modified>
</cp:coreProperties>
</file>